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4505F"/>
          <w:sz w:val="48"/>
        </w:rPr>
        <w:t>Last Mile: Agentic Prescriptive Analytics for Banking</w:t>
      </w:r>
    </w:p>
    <w:p>
      <w:pPr>
        <w:spacing w:after="320"/>
      </w:pPr>
      <w:r>
        <w:rPr>
          <w:color w:val="46505C"/>
          <w:sz w:val="26"/>
        </w:rPr>
        <w:t>Comprehensive Technical Architecture, Data Dictionary, Model Design &amp; Demo Guide</w:t>
      </w:r>
    </w:p>
    <w:tbl>
      <w:tblPr>
        <w:tblW w:type="auto" w:w="0"/>
        <w:jc w:val="center"/>
        <w:tblLook w:firstColumn="1" w:firstRow="1" w:lastColumn="0" w:lastRow="0" w:noHBand="0" w:noVBand="1" w:val="04A0"/>
      </w:tblPr>
      <w:tblGrid>
        <w:gridCol w:w="4680"/>
        <w:gridCol w:w="4680"/>
      </w:tblGrid>
      <w:tr>
        <w:tc>
          <w:tcPr>
            <w:tcW w:type="dxa" w:w="3168"/>
            <w:shd w:fill="14505F"/>
          </w:tcPr>
          <w:p>
            <w:pPr>
              <w:jc w:val="left"/>
            </w:pPr>
            <w:r>
              <w:rPr>
                <w:b/>
                <w:color w:val="FFFFFF"/>
                <w:sz w:val="19"/>
              </w:rPr>
              <w:t>Document Title</w:t>
            </w:r>
          </w:p>
        </w:tc>
        <w:tc>
          <w:tcPr>
            <w:tcW w:type="dxa" w:w="6192"/>
            <w:shd w:fill="14505F"/>
          </w:tcPr>
          <w:p>
            <w:pPr>
              <w:jc w:val="left"/>
            </w:pPr>
            <w:r>
              <w:rPr>
                <w:b/>
                <w:color w:val="FFFFFF"/>
                <w:sz w:val="19"/>
              </w:rPr>
              <w:t>Last Mile — Technical Reference &amp; Data Dictionary</w:t>
            </w:r>
          </w:p>
        </w:tc>
      </w:tr>
      <w:tr>
        <w:tc>
          <w:tcPr>
            <w:tcW w:type="dxa" w:w="3168"/>
            <w:shd w:fill="F4F6F8"/>
          </w:tcPr>
          <w:p>
            <w:r>
              <w:rPr>
                <w:color w:val="1E232A"/>
                <w:sz w:val="18"/>
              </w:rPr>
              <w:t>Project &amp; Challenge</w:t>
            </w:r>
          </w:p>
        </w:tc>
        <w:tc>
          <w:tcPr>
            <w:tcW w:type="dxa" w:w="6192"/>
            <w:shd w:fill="F4F6F8"/>
          </w:tcPr>
          <w:p>
            <w:r>
              <w:rPr>
                <w:color w:val="1E232A"/>
                <w:sz w:val="18"/>
              </w:rPr>
              <w:t>Hackfest 2026: Agentic Prescriptive Analytics for Banking</w:t>
            </w:r>
          </w:p>
        </w:tc>
      </w:tr>
      <w:tr>
        <w:tc>
          <w:tcPr>
            <w:tcW w:type="dxa" w:w="3168"/>
          </w:tcPr>
          <w:p>
            <w:r>
              <w:rPr>
                <w:color w:val="1E232A"/>
                <w:sz w:val="18"/>
              </w:rPr>
              <w:t>System Modules Covered</w:t>
            </w:r>
          </w:p>
        </w:tc>
        <w:tc>
          <w:tcPr>
            <w:tcW w:type="dxa" w:w="6192"/>
          </w:tcPr>
          <w:p>
            <w:r>
              <w:rPr>
                <w:color w:val="1E232A"/>
                <w:sz w:val="18"/>
              </w:rPr>
              <w:t>8-Stage Multi-Agent Crew, Causal T-Learner, CBC MIP Solver, Bank Database (bank.db), Presentation Story</w:t>
            </w:r>
          </w:p>
        </w:tc>
      </w:tr>
    </w:tbl>
    <w:p/>
    <w:p>
      <w:pPr>
        <w:pStyle w:val="Heading1"/>
        <w:spacing w:before="360" w:after="120"/>
      </w:pPr>
      <w:r>
        <w:t>1. Executive Summary &amp; Problem Formulation</w:t>
      </w:r>
    </w:p>
    <w:p>
      <w:pPr>
        <w:spacing w:after="160"/>
      </w:pPr>
      <w:r>
        <w:t>Traditional credit risk models in retail banking produce high-accuracy predictive scores (Probability of Default, Delinquency Bucket, Risk Grade A–E). However, predictive scoring alone does not inform what operational intervention to take. Sorting collections queues by risk score leads to severe inefficiencies: scarce collector capacity is wasted on "Lost Causes" (insolvent borrowers who default regardless of outreach) and "Sure Things" (borrowers who cure on their own), while triggering "Sleeping Dogs" (borrowers who get angry and default because of outreach).</w:t>
      </w:r>
    </w:p>
    <w:p>
      <w:pPr>
        <w:spacing w:after="280"/>
      </w:pPr>
      <w:r>
        <w:t>Last Mile implements an end-to-end Agentic Prescriptive Analytics system. It bridges the gap between prediction and action by calculating Causal Uplift (treatment effect delta), simulating portfolio behavior under uncertainty (Monte Carlo &amp; SimPy), optimizing multi-choice knapsack assignments via a Mixed-Integer Linear Programming solver (CBC), and enforcing strict human-in-the-loop governance with an immutable SHA-256 cryptographic audit trail.</w:t>
      </w:r>
    </w:p>
    <w:p>
      <w:pPr>
        <w:pStyle w:val="Heading1"/>
        <w:spacing w:before="360" w:after="120"/>
      </w:pPr>
      <w:r>
        <w:t>2. The 5 Core Dimensions of Enterprise Agentic AI</w:t>
      </w:r>
    </w:p>
    <w:p>
      <w:r>
        <w:t>The system implements a governed, prescriptive multi-agent architecture rather than an unconstrained chat loop:</w:t>
      </w:r>
    </w:p>
    <w:tbl>
      <w:tblPr>
        <w:tblW w:type="auto" w:w="0"/>
        <w:jc w:val="center"/>
        <w:tblLook w:firstColumn="1" w:firstRow="1" w:lastColumn="0" w:lastRow="0" w:noHBand="0" w:noVBand="1" w:val="04A0"/>
      </w:tblPr>
      <w:tblGrid>
        <w:gridCol w:w="3120"/>
        <w:gridCol w:w="3120"/>
        <w:gridCol w:w="3120"/>
      </w:tblGrid>
      <w:tr>
        <w:tc>
          <w:tcPr>
            <w:tcW w:type="dxa" w:w="2592"/>
            <w:shd w:fill="14505F"/>
          </w:tcPr>
          <w:p>
            <w:pPr>
              <w:jc w:val="left"/>
            </w:pPr>
            <w:r>
              <w:rPr>
                <w:b/>
                <w:color w:val="FFFFFF"/>
                <w:sz w:val="19"/>
              </w:rPr>
              <w:t>Dimension</w:t>
            </w:r>
          </w:p>
        </w:tc>
        <w:tc>
          <w:tcPr>
            <w:tcW w:type="dxa" w:w="3888"/>
            <w:shd w:fill="14505F"/>
          </w:tcPr>
          <w:p>
            <w:pPr>
              <w:jc w:val="left"/>
            </w:pPr>
            <w:r>
              <w:rPr>
                <w:b/>
                <w:color w:val="FFFFFF"/>
                <w:sz w:val="19"/>
              </w:rPr>
              <w:t>Implementation in Last Mile</w:t>
            </w:r>
          </w:p>
        </w:tc>
        <w:tc>
          <w:tcPr>
            <w:tcW w:type="dxa" w:w="2880"/>
            <w:shd w:fill="14505F"/>
          </w:tcPr>
          <w:p>
            <w:pPr>
              <w:jc w:val="left"/>
            </w:pPr>
            <w:r>
              <w:rPr>
                <w:b/>
                <w:color w:val="FFFFFF"/>
                <w:sz w:val="19"/>
              </w:rPr>
              <w:t>Enterprise / Banking Value</w:t>
            </w:r>
          </w:p>
        </w:tc>
      </w:tr>
      <w:tr>
        <w:tc>
          <w:tcPr>
            <w:tcW w:type="dxa" w:w="2592"/>
            <w:shd w:fill="F4F6F8"/>
          </w:tcPr>
          <w:p>
            <w:r>
              <w:rPr>
                <w:color w:val="1E232A"/>
                <w:sz w:val="18"/>
              </w:rPr>
              <w:t>1. Multi-Agent Specialization &amp; RBAC Tool Ownership</w:t>
            </w:r>
          </w:p>
        </w:tc>
        <w:tc>
          <w:tcPr>
            <w:tcW w:type="dxa" w:w="3888"/>
            <w:shd w:fill="F4F6F8"/>
          </w:tcPr>
          <w:p>
            <w:r>
              <w:rPr>
                <w:color w:val="1E232A"/>
                <w:sz w:val="18"/>
              </w:rPr>
              <w:t>8 specialized agents (Supervisor, Ingestion, Config, Data Steward, Feature, Decision, Policy, Explanation) with closed, mutually exclusive tool registries.</w:t>
            </w:r>
          </w:p>
        </w:tc>
        <w:tc>
          <w:tcPr>
            <w:tcW w:type="dxa" w:w="2880"/>
            <w:shd w:fill="F4F6F8"/>
          </w:tcPr>
          <w:p>
            <w:r>
              <w:rPr>
                <w:color w:val="1E232A"/>
                <w:sz w:val="18"/>
              </w:rPr>
              <w:t>Enforces strict Role-Based Access Control; unowned tool calls are refused and logged.</w:t>
            </w:r>
          </w:p>
        </w:tc>
      </w:tr>
      <w:tr>
        <w:tc>
          <w:tcPr>
            <w:tcW w:type="dxa" w:w="2592"/>
          </w:tcPr>
          <w:p>
            <w:r>
              <w:rPr>
                <w:color w:val="1E232A"/>
                <w:sz w:val="18"/>
              </w:rPr>
              <w:t>2. Autonomous Guardrails &amp; Failure Refusal</w:t>
            </w:r>
          </w:p>
        </w:tc>
        <w:tc>
          <w:tcPr>
            <w:tcW w:type="dxa" w:w="3888"/>
          </w:tcPr>
          <w:p>
            <w:r>
              <w:rPr>
                <w:color w:val="1E232A"/>
                <w:sz w:val="18"/>
              </w:rPr>
              <w:t>13 automated data quality gates, causal feasibility testing, zero-leakage guards, and policy compliance checkers.</w:t>
            </w:r>
          </w:p>
        </w:tc>
        <w:tc>
          <w:tcPr>
            <w:tcW w:type="dxa" w:w="2880"/>
          </w:tcPr>
          <w:p>
            <w:r>
              <w:rPr>
                <w:color w:val="1E232A"/>
                <w:sz w:val="18"/>
              </w:rPr>
              <w:t>Guarantees execution safety; aborts unsafe runs before corrupted data touches models.</w:t>
            </w:r>
          </w:p>
        </w:tc>
      </w:tr>
      <w:tr>
        <w:tc>
          <w:tcPr>
            <w:tcW w:type="dxa" w:w="2592"/>
            <w:shd w:fill="F4F6F8"/>
          </w:tcPr>
          <w:p>
            <w:r>
              <w:rPr>
                <w:color w:val="1E232A"/>
                <w:sz w:val="18"/>
              </w:rPr>
              <w:t>3. Protocol Handoffs &amp; Traceability</w:t>
            </w:r>
          </w:p>
        </w:tc>
        <w:tc>
          <w:tcPr>
            <w:tcW w:type="dxa" w:w="3888"/>
            <w:shd w:fill="F4F6F8"/>
          </w:tcPr>
          <w:p>
            <w:r>
              <w:rPr>
                <w:color w:val="1E232A"/>
                <w:sz w:val="18"/>
              </w:rPr>
              <w:t>Formal message passing and state handshakes (e.g. Decision Agent ↔ Policy Agent) recorded in sequence event logs.</w:t>
            </w:r>
          </w:p>
        </w:tc>
        <w:tc>
          <w:tcPr>
            <w:tcW w:type="dxa" w:w="2880"/>
            <w:shd w:fill="F4F6F8"/>
          </w:tcPr>
          <w:p>
            <w:r>
              <w:rPr>
                <w:color w:val="1E232A"/>
                <w:sz w:val="18"/>
              </w:rPr>
              <w:t>100% reproducible execution and step-by-step auditability.</w:t>
            </w:r>
          </w:p>
        </w:tc>
      </w:tr>
      <w:tr>
        <w:tc>
          <w:tcPr>
            <w:tcW w:type="dxa" w:w="2592"/>
          </w:tcPr>
          <w:p>
            <w:r>
              <w:rPr>
                <w:color w:val="1E232A"/>
                <w:sz w:val="18"/>
              </w:rPr>
              <w:t>4. Strict Division of Labor (AI vs Math)</w:t>
            </w:r>
          </w:p>
        </w:tc>
        <w:tc>
          <w:tcPr>
            <w:tcW w:type="dxa" w:w="3888"/>
          </w:tcPr>
          <w:p>
            <w:r>
              <w:rPr>
                <w:color w:val="1E232A"/>
                <w:sz w:val="18"/>
              </w:rPr>
              <w:t>LLM only drafts personalized outreach templates with zero generated digits; Causal ML (T-Learner) and CBC MIP solver compute all mathematics.</w:t>
            </w:r>
          </w:p>
        </w:tc>
        <w:tc>
          <w:tcPr>
            <w:tcW w:type="dxa" w:w="2880"/>
          </w:tcPr>
          <w:p>
            <w:r>
              <w:rPr>
                <w:color w:val="1E232A"/>
                <w:sz w:val="18"/>
              </w:rPr>
              <w:t>Completely eliminates LLM mathematical hallucinations while maximizing mathematical optimization.</w:t>
            </w:r>
          </w:p>
        </w:tc>
      </w:tr>
      <w:tr>
        <w:tc>
          <w:tcPr>
            <w:tcW w:type="dxa" w:w="2592"/>
            <w:shd w:fill="F4F6F8"/>
          </w:tcPr>
          <w:p>
            <w:r>
              <w:rPr>
                <w:color w:val="1E232A"/>
                <w:sz w:val="18"/>
              </w:rPr>
              <w:t>5. Governed Human Approval &amp; Hash Chain</w:t>
            </w:r>
          </w:p>
        </w:tc>
        <w:tc>
          <w:tcPr>
            <w:tcW w:type="dxa" w:w="3888"/>
            <w:shd w:fill="F4F6F8"/>
          </w:tcPr>
          <w:p>
            <w:r>
              <w:rPr>
                <w:color w:val="1E232A"/>
                <w:sz w:val="18"/>
              </w:rPr>
              <w:t>Pipeline pauses at awaiting_approval; human manager reviews and approves; all events sealed in append-only SHA-256 hash chain.</w:t>
            </w:r>
          </w:p>
        </w:tc>
        <w:tc>
          <w:tcPr>
            <w:tcW w:type="dxa" w:w="2880"/>
            <w:shd w:fill="F4F6F8"/>
          </w:tcPr>
          <w:p>
            <w:r>
              <w:rPr>
                <w:color w:val="1E232A"/>
                <w:sz w:val="18"/>
              </w:rPr>
              <w:t>Full regulatory compliance with FDIC/CFPB standards and tamper-evident audit proof.</w:t>
            </w:r>
          </w:p>
        </w:tc>
      </w:tr>
    </w:tbl>
    <w:p>
      <w:pPr>
        <w:spacing w:after="120"/>
      </w:pPr>
    </w:p>
    <w:p>
      <w:pPr>
        <w:spacing w:after="28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agentic_5_dimensions_1789450597039.jpg"/>
                    <pic:cNvPicPr/>
                  </pic:nvPicPr>
                  <pic:blipFill>
                    <a:blip r:embed="rId9"/>
                    <a:stretch>
                      <a:fillRect/>
                    </a:stretch>
                  </pic:blipFill>
                  <pic:spPr>
                    <a:xfrm>
                      <a:off x="0" y="0"/>
                      <a:ext cx="5669280" cy="3164249"/>
                    </a:xfrm>
                    <a:prstGeom prst="rect"/>
                  </pic:spPr>
                </pic:pic>
              </a:graphicData>
            </a:graphic>
          </wp:inline>
        </w:drawing>
      </w:r>
    </w:p>
    <w:p>
      <w:pPr>
        <w:spacing w:after="280"/>
        <w:jc w:val="center"/>
      </w:pPr>
      <w:r>
        <w:rPr>
          <w:i/>
          <w:color w:val="46505C"/>
          <w:sz w:val="17"/>
        </w:rPr>
        <w:t>Figure 1: 5 Core Dimensions of Enterprise Agentic AI in Banking Architecture</w:t>
      </w:r>
    </w:p>
    <w:p>
      <w:pPr>
        <w:pStyle w:val="Heading1"/>
        <w:spacing w:before="360" w:after="120"/>
      </w:pPr>
      <w:r>
        <w:t>3. Mathematical &amp; Causal Rationale: Why Tree-Based Ensembles?</w:t>
      </w:r>
    </w:p>
    <w:p>
      <w:r>
        <w:t>In causal prescriptive analytics, choosing regularized Tree-Based Ensembles (Histogram Gradient Boosting / XGBoost / Random Forest) over linear models or deep neural networks is based on 5 core principles:</w:t>
      </w:r>
    </w:p>
    <w:p>
      <w:pPr>
        <w:spacing w:after="80"/>
      </w:pPr>
      <w:r>
        <w:rPr>
          <w:b/>
          <w:color w:val="14505F"/>
        </w:rPr>
        <w:t xml:space="preserve">• Uplift Subtraction Variance &amp; The Winner's Curse: </w:t>
      </w:r>
      <w:r>
        <w:t>Estimating treatment delta τ = P(cure|treatment) - P(cure|control) doubles variance. Downstream MIP optimizers exploit high-variance noise. Regularized boosted trees + bootstrap bagging suppresses variance and doubled correlation with true uplift (from 0.21 to 0.48 on sealed truth).</w:t>
      </w:r>
    </w:p>
    <w:p>
      <w:pPr>
        <w:spacing w:after="80"/>
      </w:pPr>
      <w:r>
        <w:rPr>
          <w:b/>
          <w:color w:val="14505F"/>
        </w:rPr>
        <w:t xml:space="preserve">• Tabular Banking "Cliff Effects": </w:t>
      </w:r>
      <w:r>
        <w:t>Delinquency data exhibits sharp non-linear thresholds (e.g. Day 29 vs Day 30 vs Day 90 charge-off). Trees naturally split on exact thresholds, whereas linear models require extensive manual binning.</w:t>
      </w:r>
    </w:p>
    <w:p>
      <w:pPr>
        <w:spacing w:after="80"/>
      </w:pPr>
      <w:r>
        <w:rPr>
          <w:b/>
          <w:color w:val="14505F"/>
        </w:rPr>
        <w:t xml:space="preserve">• Automatic Multi-Way Interactions: </w:t>
      </w:r>
      <w:r>
        <w:t>Causal response depends on complex conjunctions (e.g. Auto Loan × Balance &gt; k × Past PTP Kept). Decision trees automatically learn hierarchical interactions without polynomial feature expansion.</w:t>
      </w:r>
    </w:p>
    <w:p>
      <w:pPr>
        <w:spacing w:after="80"/>
      </w:pPr>
      <w:r>
        <w:rPr>
          <w:b/>
          <w:color w:val="14505F"/>
        </w:rPr>
        <w:t xml:space="preserve">• Extreme Financial Outlier Robustness: </w:t>
      </w:r>
      <w:r>
        <w:t>Balances range from  to ,000. Trees split on rank order, making them naturally invariant to monotonic financial scale distortions.</w:t>
      </w:r>
    </w:p>
    <w:p>
      <w:pPr>
        <w:spacing w:after="80"/>
      </w:pPr>
      <w:r>
        <w:rPr>
          <w:b/>
          <w:color w:val="14505F"/>
        </w:rPr>
        <w:t xml:space="preserve">• Speed &amp; Determinism: </w:t>
      </w:r>
      <w:r>
        <w:t>In-memory scoring of 5,000 accounts executes in &lt;15ms, enabling real-time counterfactual re-solving in the web UI.</w:t>
      </w:r>
    </w:p>
    <w:p>
      <w:pPr>
        <w:pStyle w:val="Heading1"/>
        <w:spacing w:before="360" w:after="120"/>
      </w:pPr>
      <w:r>
        <w:t>4. Complete Data Dictionary: Synthetic Credit Union (bank.db)</w:t>
      </w:r>
    </w:p>
    <w:p>
      <w:r>
        <w:t>The bank.db database represents Riverbend Credit Union's core systems. It contains 8 relational tables linked by CIF_KEY (Borrower/Member) and ACCT_NBR (Loan/Account Number).</w:t>
      </w:r>
    </w:p>
    <w:p>
      <w:pPr>
        <w:pStyle w:val="Heading2"/>
        <w:spacing w:before="240" w:after="80"/>
      </w:pPr>
      <w:r>
        <w:t>Table: accounts (5,188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ACCT_NBR</w:t>
            </w:r>
          </w:p>
        </w:tc>
        <w:tc>
          <w:tcPr>
            <w:tcW w:type="dxa" w:w="1152"/>
            <w:shd w:fill="F4F6F8"/>
          </w:tcPr>
          <w:p>
            <w:r>
              <w:rPr>
                <w:color w:val="1E232A"/>
                <w:sz w:val="18"/>
              </w:rPr>
              <w:t>TEXT</w:t>
            </w:r>
          </w:p>
        </w:tc>
        <w:tc>
          <w:tcPr>
            <w:tcW w:type="dxa" w:w="2016"/>
            <w:shd w:fill="F4F6F8"/>
          </w:tcPr>
          <w:p>
            <w:r>
              <w:rPr>
                <w:color w:val="1E232A"/>
                <w:sz w:val="18"/>
              </w:rPr>
              <w:t>7000000</w:t>
            </w:r>
          </w:p>
        </w:tc>
        <w:tc>
          <w:tcPr>
            <w:tcW w:type="dxa" w:w="3600"/>
            <w:shd w:fill="F4F6F8"/>
          </w:tcPr>
          <w:p>
            <w:r>
              <w:rPr>
                <w:color w:val="1E232A"/>
                <w:sz w:val="18"/>
              </w:rPr>
              <w:t>Primary account identifier linking loan servicing to risk and queue tables.</w:t>
            </w:r>
          </w:p>
        </w:tc>
      </w:tr>
      <w:tr>
        <w:tc>
          <w:tcPr>
            <w:tcW w:type="dxa" w:w="2592"/>
          </w:tcPr>
          <w:p>
            <w:r>
              <w:rPr>
                <w:color w:val="1E232A"/>
                <w:sz w:val="18"/>
              </w:rPr>
              <w:t>CIF_KEY</w:t>
            </w:r>
          </w:p>
        </w:tc>
        <w:tc>
          <w:tcPr>
            <w:tcW w:type="dxa" w:w="1152"/>
          </w:tcPr>
          <w:p>
            <w:r>
              <w:rPr>
                <w:color w:val="1E232A"/>
                <w:sz w:val="18"/>
              </w:rPr>
              <w:t>TEXT</w:t>
            </w:r>
          </w:p>
        </w:tc>
        <w:tc>
          <w:tcPr>
            <w:tcW w:type="dxa" w:w="2016"/>
          </w:tcPr>
          <w:p>
            <w:r>
              <w:rPr>
                <w:color w:val="1E232A"/>
                <w:sz w:val="18"/>
              </w:rPr>
              <w:t>CIF100000</w:t>
            </w:r>
          </w:p>
        </w:tc>
        <w:tc>
          <w:tcPr>
            <w:tcW w:type="dxa" w:w="3600"/>
          </w:tcPr>
          <w:p>
            <w:r>
              <w:rPr>
                <w:color w:val="1E232A"/>
                <w:sz w:val="18"/>
              </w:rPr>
              <w:t>Customer Information File key linking to member profile and CRM consents.</w:t>
            </w:r>
          </w:p>
        </w:tc>
      </w:tr>
      <w:tr>
        <w:tc>
          <w:tcPr>
            <w:tcW w:type="dxa" w:w="2592"/>
            <w:shd w:fill="F4F6F8"/>
          </w:tcPr>
          <w:p>
            <w:r>
              <w:rPr>
                <w:color w:val="1E232A"/>
                <w:sz w:val="18"/>
              </w:rPr>
              <w:t>PROD_CD</w:t>
            </w:r>
          </w:p>
        </w:tc>
        <w:tc>
          <w:tcPr>
            <w:tcW w:type="dxa" w:w="1152"/>
            <w:shd w:fill="F4F6F8"/>
          </w:tcPr>
          <w:p>
            <w:r>
              <w:rPr>
                <w:color w:val="1E232A"/>
                <w:sz w:val="18"/>
              </w:rPr>
              <w:t>TEXT</w:t>
            </w:r>
          </w:p>
        </w:tc>
        <w:tc>
          <w:tcPr>
            <w:tcW w:type="dxa" w:w="2016"/>
            <w:shd w:fill="F4F6F8"/>
          </w:tcPr>
          <w:p>
            <w:r>
              <w:rPr>
                <w:color w:val="1E232A"/>
                <w:sz w:val="18"/>
              </w:rPr>
              <w:t>CARD</w:t>
            </w:r>
          </w:p>
        </w:tc>
        <w:tc>
          <w:tcPr>
            <w:tcW w:type="dxa" w:w="3600"/>
            <w:shd w:fill="F4F6F8"/>
          </w:tcPr>
          <w:p>
            <w:r>
              <w:rPr>
                <w:color w:val="1E232A"/>
                <w:sz w:val="18"/>
              </w:rPr>
              <w:t>Loan product category: AUTO, CARD, PERS, MORT.</w:t>
            </w:r>
          </w:p>
        </w:tc>
      </w:tr>
      <w:tr>
        <w:tc>
          <w:tcPr>
            <w:tcW w:type="dxa" w:w="2592"/>
          </w:tcPr>
          <w:p>
            <w:r>
              <w:rPr>
                <w:color w:val="1E232A"/>
                <w:sz w:val="18"/>
              </w:rPr>
              <w:t>SECURED_IND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Collateral backing indicator (1=Secured, 0=Unsecured). Dictates LGD.</w:t>
            </w:r>
          </w:p>
        </w:tc>
      </w:tr>
      <w:tr>
        <w:tc>
          <w:tcPr>
            <w:tcW w:type="dxa" w:w="2592"/>
            <w:shd w:fill="F4F6F8"/>
          </w:tcPr>
          <w:p>
            <w:r>
              <w:rPr>
                <w:color w:val="1E232A"/>
                <w:sz w:val="18"/>
              </w:rPr>
              <w:t>ORIG_AMT</w:t>
            </w:r>
          </w:p>
        </w:tc>
        <w:tc>
          <w:tcPr>
            <w:tcW w:type="dxa" w:w="1152"/>
            <w:shd w:fill="F4F6F8"/>
          </w:tcPr>
          <w:p>
            <w:r>
              <w:rPr>
                <w:color w:val="1E232A"/>
                <w:sz w:val="18"/>
              </w:rPr>
              <w:t>REAL</w:t>
            </w:r>
          </w:p>
        </w:tc>
        <w:tc>
          <w:tcPr>
            <w:tcW w:type="dxa" w:w="2016"/>
            <w:shd w:fill="F4F6F8"/>
          </w:tcPr>
          <w:p>
            <w:r>
              <w:rPr>
                <w:color w:val="1E232A"/>
                <w:sz w:val="18"/>
              </w:rPr>
              <w:t>11625.16</w:t>
            </w:r>
          </w:p>
        </w:tc>
        <w:tc>
          <w:tcPr>
            <w:tcW w:type="dxa" w:w="3600"/>
            <w:shd w:fill="F4F6F8"/>
          </w:tcPr>
          <w:p>
            <w:r>
              <w:rPr>
                <w:color w:val="1E232A"/>
                <w:sz w:val="18"/>
              </w:rPr>
              <w:t>Original contractual loan balance at origination.</w:t>
            </w:r>
          </w:p>
        </w:tc>
      </w:tr>
      <w:tr>
        <w:tc>
          <w:tcPr>
            <w:tcW w:type="dxa" w:w="2592"/>
          </w:tcPr>
          <w:p>
            <w:r>
              <w:rPr>
                <w:color w:val="1E232A"/>
                <w:sz w:val="18"/>
              </w:rPr>
              <w:t>INT_RATE</w:t>
            </w:r>
          </w:p>
        </w:tc>
        <w:tc>
          <w:tcPr>
            <w:tcW w:type="dxa" w:w="1152"/>
          </w:tcPr>
          <w:p>
            <w:r>
              <w:rPr>
                <w:color w:val="1E232A"/>
                <w:sz w:val="18"/>
              </w:rPr>
              <w:t>REAL</w:t>
            </w:r>
          </w:p>
        </w:tc>
        <w:tc>
          <w:tcPr>
            <w:tcW w:type="dxa" w:w="2016"/>
          </w:tcPr>
          <w:p>
            <w:r>
              <w:rPr>
                <w:color w:val="1E232A"/>
                <w:sz w:val="18"/>
              </w:rPr>
              <w:t>0.219</w:t>
            </w:r>
          </w:p>
        </w:tc>
        <w:tc>
          <w:tcPr>
            <w:tcW w:type="dxa" w:w="3600"/>
          </w:tcPr>
          <w:p>
            <w:r>
              <w:rPr>
                <w:color w:val="1E232A"/>
                <w:sz w:val="18"/>
              </w:rPr>
              <w:t>Annual interest rate (APR) applied to balance.</w:t>
            </w:r>
          </w:p>
        </w:tc>
      </w:tr>
      <w:tr>
        <w:tc>
          <w:tcPr>
            <w:tcW w:type="dxa" w:w="2592"/>
            <w:shd w:fill="F4F6F8"/>
          </w:tcPr>
          <w:p>
            <w:r>
              <w:rPr>
                <w:color w:val="1E232A"/>
                <w:sz w:val="18"/>
              </w:rPr>
              <w:t>OPEN_DT</w:t>
            </w:r>
          </w:p>
        </w:tc>
        <w:tc>
          <w:tcPr>
            <w:tcW w:type="dxa" w:w="1152"/>
            <w:shd w:fill="F4F6F8"/>
          </w:tcPr>
          <w:p>
            <w:r>
              <w:rPr>
                <w:color w:val="1E232A"/>
                <w:sz w:val="18"/>
              </w:rPr>
              <w:t>TEXT</w:t>
            </w:r>
          </w:p>
        </w:tc>
        <w:tc>
          <w:tcPr>
            <w:tcW w:type="dxa" w:w="2016"/>
            <w:shd w:fill="F4F6F8"/>
          </w:tcPr>
          <w:p>
            <w:r>
              <w:rPr>
                <w:color w:val="1E232A"/>
                <w:sz w:val="18"/>
              </w:rPr>
              <w:t>2021-01-08</w:t>
            </w:r>
          </w:p>
        </w:tc>
        <w:tc>
          <w:tcPr>
            <w:tcW w:type="dxa" w:w="3600"/>
            <w:shd w:fill="F4F6F8"/>
          </w:tcPr>
          <w:p>
            <w:r>
              <w:rPr>
                <w:color w:val="1E232A"/>
                <w:sz w:val="18"/>
              </w:rPr>
              <w:t>Origination opening date.</w:t>
            </w:r>
          </w:p>
        </w:tc>
      </w:tr>
      <w:tr>
        <w:tc>
          <w:tcPr>
            <w:tcW w:type="dxa" w:w="2592"/>
          </w:tcPr>
          <w:p>
            <w:r>
              <w:rPr>
                <w:color w:val="1E232A"/>
                <w:sz w:val="18"/>
              </w:rPr>
              <w:t>LITIGATION_IND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1 if account is in legal litigation (triggers suppression).</w:t>
            </w:r>
          </w:p>
        </w:tc>
      </w:tr>
      <w:tr>
        <w:tc>
          <w:tcPr>
            <w:tcW w:type="dxa" w:w="2592"/>
            <w:shd w:fill="F4F6F8"/>
          </w:tcPr>
          <w:p>
            <w:r>
              <w:rPr>
                <w:color w:val="1E232A"/>
                <w:sz w:val="18"/>
              </w:rPr>
              <w:t>FRAUD_HOLD_IND</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1 if account has active fraud hold (triggers suppression).</w:t>
            </w:r>
          </w:p>
        </w:tc>
      </w:tr>
      <w:tr>
        <w:tc>
          <w:tcPr>
            <w:tcW w:type="dxa" w:w="2592"/>
          </w:tcPr>
          <w:p>
            <w:r>
              <w:rPr>
                <w:color w:val="1E232A"/>
                <w:sz w:val="18"/>
              </w:rPr>
              <w:t>HARDSHIP_ACTIVE_IND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1 if borrower is currently enrolled in active hardship program.</w:t>
            </w:r>
          </w:p>
        </w:tc>
      </w:tr>
      <w:tr>
        <w:tc>
          <w:tcPr>
            <w:tcW w:type="dxa" w:w="2592"/>
            <w:shd w:fill="F4F6F8"/>
          </w:tcPr>
          <w:p>
            <w:r>
              <w:rPr>
                <w:color w:val="1E232A"/>
                <w:sz w:val="18"/>
              </w:rPr>
              <w:t>HARDSHIP_PLANS_12M</w:t>
            </w:r>
          </w:p>
        </w:tc>
        <w:tc>
          <w:tcPr>
            <w:tcW w:type="dxa" w:w="1152"/>
            <w:shd w:fill="F4F6F8"/>
          </w:tcPr>
          <w:p>
            <w:r>
              <w:rPr>
                <w:color w:val="1E232A"/>
                <w:sz w:val="18"/>
              </w:rPr>
              <w:t>INTEGER</w:t>
            </w:r>
          </w:p>
        </w:tc>
        <w:tc>
          <w:tcPr>
            <w:tcW w:type="dxa" w:w="2016"/>
            <w:shd w:fill="F4F6F8"/>
          </w:tcPr>
          <w:p>
            <w:r>
              <w:rPr>
                <w:color w:val="1E232A"/>
                <w:sz w:val="18"/>
              </w:rPr>
              <w:t>1</w:t>
            </w:r>
          </w:p>
        </w:tc>
        <w:tc>
          <w:tcPr>
            <w:tcW w:type="dxa" w:w="3600"/>
            <w:shd w:fill="F4F6F8"/>
          </w:tcPr>
          <w:p>
            <w:r>
              <w:rPr>
                <w:color w:val="1E232A"/>
                <w:sz w:val="18"/>
              </w:rPr>
              <w:t>Count of hardship programs enrolled in past 12 months.</w:t>
            </w:r>
          </w:p>
        </w:tc>
      </w:tr>
      <w:tr>
        <w:tc>
          <w:tcPr>
            <w:tcW w:type="dxa" w:w="2592"/>
          </w:tcPr>
          <w:p>
            <w:r>
              <w:rPr>
                <w:color w:val="1E232A"/>
                <w:sz w:val="18"/>
              </w:rPr>
              <w:t>PTP_KEPT_RATE_12M</w:t>
            </w:r>
          </w:p>
        </w:tc>
        <w:tc>
          <w:tcPr>
            <w:tcW w:type="dxa" w:w="1152"/>
          </w:tcPr>
          <w:p>
            <w:r>
              <w:rPr>
                <w:color w:val="1E232A"/>
                <w:sz w:val="18"/>
              </w:rPr>
              <w:t>REAL</w:t>
            </w:r>
          </w:p>
        </w:tc>
        <w:tc>
          <w:tcPr>
            <w:tcW w:type="dxa" w:w="2016"/>
          </w:tcPr>
          <w:p>
            <w:r>
              <w:rPr>
                <w:color w:val="1E232A"/>
                <w:sz w:val="18"/>
              </w:rPr>
              <w:t>0.16</w:t>
            </w:r>
          </w:p>
        </w:tc>
        <w:tc>
          <w:tcPr>
            <w:tcW w:type="dxa" w:w="3600"/>
          </w:tcPr>
          <w:p>
            <w:r>
              <w:rPr>
                <w:color w:val="1E232A"/>
                <w:sz w:val="18"/>
              </w:rPr>
              <w:t>Historical ratio of Promises-to-Pay kept vs made over last 12 months.</w:t>
            </w:r>
          </w:p>
        </w:tc>
      </w:tr>
      <w:tr>
        <w:tc>
          <w:tcPr>
            <w:tcW w:type="dxa" w:w="2592"/>
            <w:shd w:fill="F4F6F8"/>
          </w:tcPr>
          <w:p>
            <w:r>
              <w:rPr>
                <w:color w:val="1E232A"/>
                <w:sz w:val="18"/>
              </w:rPr>
              <w:t>COMPLAINTS_12M</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Count of formal disputes or complaints in last 12 months.</w:t>
            </w:r>
          </w:p>
        </w:tc>
      </w:tr>
      <w:tr>
        <w:tc>
          <w:tcPr>
            <w:tcW w:type="dxa" w:w="2592"/>
          </w:tcPr>
          <w:p>
            <w:r>
              <w:rPr>
                <w:color w:val="1E232A"/>
                <w:sz w:val="18"/>
              </w:rPr>
              <w:t>ACCT_STATUS</w:t>
            </w:r>
          </w:p>
        </w:tc>
        <w:tc>
          <w:tcPr>
            <w:tcW w:type="dxa" w:w="1152"/>
          </w:tcPr>
          <w:p>
            <w:r>
              <w:rPr>
                <w:color w:val="1E232A"/>
                <w:sz w:val="18"/>
              </w:rPr>
              <w:t>TEXT</w:t>
            </w:r>
          </w:p>
        </w:tc>
        <w:tc>
          <w:tcPr>
            <w:tcW w:type="dxa" w:w="2016"/>
          </w:tcPr>
          <w:p>
            <w:r>
              <w:rPr>
                <w:color w:val="1E232A"/>
                <w:sz w:val="18"/>
              </w:rPr>
              <w:t>CURED</w:t>
            </w:r>
          </w:p>
        </w:tc>
        <w:tc>
          <w:tcPr>
            <w:tcW w:type="dxa" w:w="3600"/>
          </w:tcPr>
          <w:p>
            <w:r>
              <w:rPr>
                <w:color w:val="1E232A"/>
                <w:sz w:val="18"/>
              </w:rPr>
              <w:t>Account lifecycle status: OPEN, CURED, DELINQUENT, CHARGED_OFF.</w:t>
            </w:r>
          </w:p>
        </w:tc>
      </w:tr>
      <w:tr>
        <w:tc>
          <w:tcPr>
            <w:tcW w:type="dxa" w:w="2592"/>
            <w:shd w:fill="F4F6F8"/>
          </w:tcPr>
          <w:p>
            <w:r>
              <w:rPr>
                <w:color w:val="1E232A"/>
                <w:sz w:val="18"/>
              </w:rPr>
              <w:t>DPD_CNT</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Days Past Due count (exact days behind on payment).</w:t>
            </w:r>
          </w:p>
        </w:tc>
      </w:tr>
      <w:tr>
        <w:tc>
          <w:tcPr>
            <w:tcW w:type="dxa" w:w="2592"/>
          </w:tcPr>
          <w:p>
            <w:r>
              <w:rPr>
                <w:color w:val="1E232A"/>
                <w:sz w:val="18"/>
              </w:rPr>
              <w:t>CURR_BAL</w:t>
            </w:r>
          </w:p>
        </w:tc>
        <w:tc>
          <w:tcPr>
            <w:tcW w:type="dxa" w:w="1152"/>
          </w:tcPr>
          <w:p>
            <w:r>
              <w:rPr>
                <w:color w:val="1E232A"/>
                <w:sz w:val="18"/>
              </w:rPr>
              <w:t>REAL</w:t>
            </w:r>
          </w:p>
        </w:tc>
        <w:tc>
          <w:tcPr>
            <w:tcW w:type="dxa" w:w="2016"/>
          </w:tcPr>
          <w:p>
            <w:r>
              <w:rPr>
                <w:color w:val="1E232A"/>
                <w:sz w:val="18"/>
              </w:rPr>
              <w:t>10450.57</w:t>
            </w:r>
          </w:p>
        </w:tc>
        <w:tc>
          <w:tcPr>
            <w:tcW w:type="dxa" w:w="3600"/>
          </w:tcPr>
          <w:p>
            <w:r>
              <w:rPr>
                <w:color w:val="1E232A"/>
                <w:sz w:val="18"/>
              </w:rPr>
              <w:t>Current outstanding balance owed (Exposure at Default).</w:t>
            </w:r>
          </w:p>
        </w:tc>
      </w:tr>
      <w:tr>
        <w:tc>
          <w:tcPr>
            <w:tcW w:type="dxa" w:w="2592"/>
            <w:shd w:fill="F4F6F8"/>
          </w:tcPr>
          <w:p>
            <w:r>
              <w:rPr>
                <w:color w:val="1E232A"/>
                <w:sz w:val="18"/>
              </w:rPr>
              <w:t>PMTS_MISSED_12M</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Cumulative count of missed payments in last 12 months.</w:t>
            </w:r>
          </w:p>
        </w:tc>
      </w:tr>
      <w:tr>
        <w:tc>
          <w:tcPr>
            <w:tcW w:type="dxa" w:w="2592"/>
          </w:tcPr>
          <w:p>
            <w:r>
              <w:rPr>
                <w:color w:val="1E232A"/>
                <w:sz w:val="18"/>
              </w:rPr>
              <w:t>MOS_SINCE_LAST_PMT</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Months elapsed since last successful payment.</w:t>
            </w:r>
          </w:p>
        </w:tc>
      </w:tr>
      <w:tr>
        <w:tc>
          <w:tcPr>
            <w:tcW w:type="dxa" w:w="2592"/>
            <w:shd w:fill="F4F6F8"/>
          </w:tcPr>
          <w:p>
            <w:r>
              <w:rPr>
                <w:color w:val="1E232A"/>
                <w:sz w:val="18"/>
              </w:rPr>
              <w:t>MIN_PMT_AMT</w:t>
            </w:r>
          </w:p>
        </w:tc>
        <w:tc>
          <w:tcPr>
            <w:tcW w:type="dxa" w:w="1152"/>
            <w:shd w:fill="F4F6F8"/>
          </w:tcPr>
          <w:p>
            <w:r>
              <w:rPr>
                <w:color w:val="1E232A"/>
                <w:sz w:val="18"/>
              </w:rPr>
              <w:t>REAL</w:t>
            </w:r>
          </w:p>
        </w:tc>
        <w:tc>
          <w:tcPr>
            <w:tcW w:type="dxa" w:w="2016"/>
            <w:shd w:fill="F4F6F8"/>
          </w:tcPr>
          <w:p>
            <w:r>
              <w:rPr>
                <w:color w:val="1E232A"/>
                <w:sz w:val="18"/>
              </w:rPr>
              <w:t>348.75</w:t>
            </w:r>
          </w:p>
        </w:tc>
        <w:tc>
          <w:tcPr>
            <w:tcW w:type="dxa" w:w="3600"/>
            <w:shd w:fill="F4F6F8"/>
          </w:tcPr>
          <w:p>
            <w:r>
              <w:rPr>
                <w:color w:val="1E232A"/>
                <w:sz w:val="18"/>
              </w:rPr>
              <w:t>Minimum contractual monthly payment due.</w:t>
            </w:r>
          </w:p>
        </w:tc>
      </w:tr>
    </w:tbl>
    <w:p>
      <w:pPr>
        <w:pStyle w:val="Heading2"/>
        <w:spacing w:before="240" w:after="80"/>
      </w:pPr>
      <w:r>
        <w:t>Table: collection_actions (365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ACTION_ID</w:t>
            </w:r>
          </w:p>
        </w:tc>
        <w:tc>
          <w:tcPr>
            <w:tcW w:type="dxa" w:w="1152"/>
            <w:shd w:fill="F4F6F8"/>
          </w:tcPr>
          <w:p>
            <w:r>
              <w:rPr>
                <w:color w:val="1E232A"/>
                <w:sz w:val="18"/>
              </w:rPr>
              <w:t>INTEGER</w:t>
            </w:r>
          </w:p>
        </w:tc>
        <w:tc>
          <w:tcPr>
            <w:tcW w:type="dxa" w:w="2016"/>
            <w:shd w:fill="F4F6F8"/>
          </w:tcPr>
          <w:p>
            <w:r>
              <w:rPr>
                <w:color w:val="1E232A"/>
                <w:sz w:val="18"/>
              </w:rPr>
              <w:t>1</w:t>
            </w:r>
          </w:p>
        </w:tc>
        <w:tc>
          <w:tcPr>
            <w:tcW w:type="dxa" w:w="3600"/>
            <w:shd w:fill="F4F6F8"/>
          </w:tcPr>
          <w:p>
            <w:r>
              <w:rPr>
                <w:color w:val="1E232A"/>
                <w:sz w:val="18"/>
              </w:rPr>
              <w:t>Auto-incrementing action execution ID.</w:t>
            </w:r>
          </w:p>
        </w:tc>
      </w:tr>
      <w:tr>
        <w:tc>
          <w:tcPr>
            <w:tcW w:type="dxa" w:w="2592"/>
          </w:tcPr>
          <w:p>
            <w:r>
              <w:rPr>
                <w:color w:val="1E232A"/>
                <w:sz w:val="18"/>
              </w:rPr>
              <w:t>ACCT_NBR</w:t>
            </w:r>
          </w:p>
        </w:tc>
        <w:tc>
          <w:tcPr>
            <w:tcW w:type="dxa" w:w="1152"/>
          </w:tcPr>
          <w:p>
            <w:r>
              <w:rPr>
                <w:color w:val="1E232A"/>
                <w:sz w:val="18"/>
              </w:rPr>
              <w:t>TEXT</w:t>
            </w:r>
          </w:p>
        </w:tc>
        <w:tc>
          <w:tcPr>
            <w:tcW w:type="dxa" w:w="2016"/>
          </w:tcPr>
          <w:p>
            <w:r>
              <w:rPr>
                <w:color w:val="1E232A"/>
                <w:sz w:val="18"/>
              </w:rPr>
              <w:t>7002559</w:t>
            </w:r>
          </w:p>
        </w:tc>
        <w:tc>
          <w:tcPr>
            <w:tcW w:type="dxa" w:w="3600"/>
          </w:tcPr>
          <w:p>
            <w:r>
              <w:rPr>
                <w:color w:val="1E232A"/>
                <w:sz w:val="18"/>
              </w:rPr>
              <w:t>Primary account identifier linking loan servicing to risk and queue tables.</w:t>
            </w:r>
          </w:p>
        </w:tc>
      </w:tr>
      <w:tr>
        <w:tc>
          <w:tcPr>
            <w:tcW w:type="dxa" w:w="2592"/>
            <w:shd w:fill="F4F6F8"/>
          </w:tcPr>
          <w:p>
            <w:r>
              <w:rPr>
                <w:color w:val="1E232A"/>
                <w:sz w:val="18"/>
              </w:rPr>
              <w:t>ACTION_CD</w:t>
            </w:r>
          </w:p>
        </w:tc>
        <w:tc>
          <w:tcPr>
            <w:tcW w:type="dxa" w:w="1152"/>
            <w:shd w:fill="F4F6F8"/>
          </w:tcPr>
          <w:p>
            <w:r>
              <w:rPr>
                <w:color w:val="1E232A"/>
                <w:sz w:val="18"/>
              </w:rPr>
              <w:t>TEXT</w:t>
            </w:r>
          </w:p>
        </w:tc>
        <w:tc>
          <w:tcPr>
            <w:tcW w:type="dxa" w:w="2016"/>
            <w:shd w:fill="F4F6F8"/>
          </w:tcPr>
          <w:p>
            <w:r>
              <w:rPr>
                <w:color w:val="1E232A"/>
                <w:sz w:val="18"/>
              </w:rPr>
              <w:t>CALL</w:t>
            </w:r>
          </w:p>
        </w:tc>
        <w:tc>
          <w:tcPr>
            <w:tcW w:type="dxa" w:w="3600"/>
            <w:shd w:fill="F4F6F8"/>
          </w:tcPr>
          <w:p>
            <w:r>
              <w:rPr>
                <w:color w:val="1E232A"/>
                <w:sz w:val="18"/>
              </w:rPr>
              <w:t>Action taken on date t: NONE, SMS, CALL, PLAN, HARDSHIP.</w:t>
            </w:r>
          </w:p>
        </w:tc>
      </w:tr>
      <w:tr>
        <w:tc>
          <w:tcPr>
            <w:tcW w:type="dxa" w:w="2592"/>
          </w:tcPr>
          <w:p>
            <w:r>
              <w:rPr>
                <w:color w:val="1E232A"/>
                <w:sz w:val="18"/>
              </w:rPr>
              <w:t>CHANNEL</w:t>
            </w:r>
          </w:p>
        </w:tc>
        <w:tc>
          <w:tcPr>
            <w:tcW w:type="dxa" w:w="1152"/>
          </w:tcPr>
          <w:p>
            <w:r>
              <w:rPr>
                <w:color w:val="1E232A"/>
                <w:sz w:val="18"/>
              </w:rPr>
              <w:t>TEXT</w:t>
            </w:r>
          </w:p>
        </w:tc>
        <w:tc>
          <w:tcPr>
            <w:tcW w:type="dxa" w:w="2016"/>
          </w:tcPr>
          <w:p>
            <w:r>
              <w:rPr>
                <w:color w:val="1E232A"/>
                <w:sz w:val="18"/>
              </w:rPr>
              <w:t>voice</w:t>
            </w:r>
          </w:p>
        </w:tc>
        <w:tc>
          <w:tcPr>
            <w:tcW w:type="dxa" w:w="3600"/>
          </w:tcPr>
          <w:p>
            <w:r>
              <w:rPr>
                <w:color w:val="1E232A"/>
                <w:sz w:val="18"/>
              </w:rPr>
              <w:t>Channel used: voice, sms, internal.</w:t>
            </w:r>
          </w:p>
        </w:tc>
      </w:tr>
      <w:tr>
        <w:tc>
          <w:tcPr>
            <w:tcW w:type="dxa" w:w="2592"/>
            <w:shd w:fill="F4F6F8"/>
          </w:tcPr>
          <w:p>
            <w:r>
              <w:rPr>
                <w:color w:val="1E232A"/>
                <w:sz w:val="18"/>
              </w:rPr>
              <w:t>SCRIPT_TXT</w:t>
            </w:r>
          </w:p>
        </w:tc>
        <w:tc>
          <w:tcPr>
            <w:tcW w:type="dxa" w:w="1152"/>
            <w:shd w:fill="F4F6F8"/>
          </w:tcPr>
          <w:p>
            <w:r>
              <w:rPr>
                <w:color w:val="1E232A"/>
                <w:sz w:val="18"/>
              </w:rPr>
              <w:t>TEXT</w:t>
            </w:r>
          </w:p>
        </w:tc>
        <w:tc>
          <w:tcPr>
            <w:tcW w:type="dxa" w:w="2016"/>
            <w:shd w:fill="F4F6F8"/>
          </w:tcPr>
          <w:p>
            <w:r>
              <w:rPr>
                <w:color w:val="1E232A"/>
                <w:sz w:val="18"/>
              </w:rPr>
              <w:t>Hello Avery, this is Riverbend Credit Union calling regarding your personal loan. We want to discuss your account and see how we can assist you. We can explore options like a Collector call.</w:t>
            </w:r>
          </w:p>
        </w:tc>
        <w:tc>
          <w:tcPr>
            <w:tcW w:type="dxa" w:w="3600"/>
            <w:shd w:fill="F4F6F8"/>
          </w:tcPr>
          <w:p>
            <w:r>
              <w:rPr>
                <w:color w:val="1E232A"/>
                <w:sz w:val="18"/>
              </w:rPr>
              <w:t>Final rendered outreach text approved by manager.</w:t>
            </w:r>
          </w:p>
        </w:tc>
      </w:tr>
      <w:tr>
        <w:tc>
          <w:tcPr>
            <w:tcW w:type="dxa" w:w="2592"/>
          </w:tcPr>
          <w:p>
            <w:r>
              <w:rPr>
                <w:color w:val="1E232A"/>
                <w:sz w:val="18"/>
              </w:rPr>
              <w:t>APPROVED_BY</w:t>
            </w:r>
          </w:p>
        </w:tc>
        <w:tc>
          <w:tcPr>
            <w:tcW w:type="dxa" w:w="1152"/>
          </w:tcPr>
          <w:p>
            <w:r>
              <w:rPr>
                <w:color w:val="1E232A"/>
                <w:sz w:val="18"/>
              </w:rPr>
              <w:t>TEXT</w:t>
            </w:r>
          </w:p>
        </w:tc>
        <w:tc>
          <w:tcPr>
            <w:tcW w:type="dxa" w:w="2016"/>
          </w:tcPr>
          <w:p>
            <w:r>
              <w:rPr>
                <w:color w:val="1E232A"/>
                <w:sz w:val="18"/>
              </w:rPr>
              <w:t>manager.demo</w:t>
            </w:r>
          </w:p>
        </w:tc>
        <w:tc>
          <w:tcPr>
            <w:tcW w:type="dxa" w:w="3600"/>
          </w:tcPr>
          <w:p>
            <w:r>
              <w:rPr>
                <w:color w:val="1E232A"/>
                <w:sz w:val="18"/>
              </w:rPr>
              <w:t>User identifier of manager who approved release.</w:t>
            </w:r>
          </w:p>
        </w:tc>
      </w:tr>
      <w:tr>
        <w:tc>
          <w:tcPr>
            <w:tcW w:type="dxa" w:w="2592"/>
            <w:shd w:fill="F4F6F8"/>
          </w:tcPr>
          <w:p>
            <w:r>
              <w:rPr>
                <w:color w:val="1E232A"/>
                <w:sz w:val="18"/>
              </w:rPr>
              <w:t>SOURCE_RUN_ID</w:t>
            </w:r>
          </w:p>
        </w:tc>
        <w:tc>
          <w:tcPr>
            <w:tcW w:type="dxa" w:w="1152"/>
            <w:shd w:fill="F4F6F8"/>
          </w:tcPr>
          <w:p>
            <w:r>
              <w:rPr>
                <w:color w:val="1E232A"/>
                <w:sz w:val="18"/>
              </w:rPr>
              <w:t>TEXT</w:t>
            </w:r>
          </w:p>
        </w:tc>
        <w:tc>
          <w:tcPr>
            <w:tcW w:type="dxa" w:w="2016"/>
            <w:shd w:fill="F4F6F8"/>
          </w:tcPr>
          <w:p>
            <w:r>
              <w:rPr>
                <w:color w:val="1E232A"/>
                <w:sz w:val="18"/>
              </w:rPr>
              <w:t>run_20260914T172302_cd6d</w:t>
            </w:r>
          </w:p>
        </w:tc>
        <w:tc>
          <w:tcPr>
            <w:tcW w:type="dxa" w:w="3600"/>
            <w:shd w:fill="F4F6F8"/>
          </w:tcPr>
          <w:p>
            <w:r>
              <w:rPr>
                <w:color w:val="1E232A"/>
                <w:sz w:val="18"/>
              </w:rPr>
              <w:t>Trace run identifier that generated recommendation.</w:t>
            </w:r>
          </w:p>
        </w:tc>
      </w:tr>
      <w:tr>
        <w:tc>
          <w:tcPr>
            <w:tcW w:type="dxa" w:w="2592"/>
          </w:tcPr>
          <w:p>
            <w:r>
              <w:rPr>
                <w:color w:val="1E232A"/>
                <w:sz w:val="18"/>
              </w:rPr>
              <w:t>RECEIVED_AT</w:t>
            </w:r>
          </w:p>
        </w:tc>
        <w:tc>
          <w:tcPr>
            <w:tcW w:type="dxa" w:w="1152"/>
          </w:tcPr>
          <w:p>
            <w:r>
              <w:rPr>
                <w:color w:val="1E232A"/>
                <w:sz w:val="18"/>
              </w:rPr>
              <w:t>TEXT</w:t>
            </w:r>
          </w:p>
        </w:tc>
        <w:tc>
          <w:tcPr>
            <w:tcW w:type="dxa" w:w="2016"/>
          </w:tcPr>
          <w:p>
            <w:r>
              <w:rPr>
                <w:color w:val="1E232A"/>
                <w:sz w:val="18"/>
              </w:rPr>
              <w:t>2026-09-14T17:35:49.215858+00:00</w:t>
            </w:r>
          </w:p>
        </w:tc>
        <w:tc>
          <w:tcPr>
            <w:tcW w:type="dxa" w:w="3600"/>
          </w:tcPr>
          <w:p>
            <w:r>
              <w:rPr>
                <w:color w:val="1E232A"/>
                <w:sz w:val="18"/>
              </w:rPr>
              <w:t>Timestamp action was received by core bank.</w:t>
            </w:r>
          </w:p>
        </w:tc>
      </w:tr>
    </w:tbl>
    <w:p>
      <w:pPr>
        <w:pStyle w:val="Heading2"/>
        <w:spacing w:before="240" w:after="80"/>
      </w:pPr>
      <w:r>
        <w:t>Table: collections_queue_history (20,308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QUEUE_DT</w:t>
            </w:r>
          </w:p>
        </w:tc>
        <w:tc>
          <w:tcPr>
            <w:tcW w:type="dxa" w:w="1152"/>
            <w:shd w:fill="F4F6F8"/>
          </w:tcPr>
          <w:p>
            <w:r>
              <w:rPr>
                <w:color w:val="1E232A"/>
                <w:sz w:val="18"/>
              </w:rPr>
              <w:t>TEXT</w:t>
            </w:r>
          </w:p>
        </w:tc>
        <w:tc>
          <w:tcPr>
            <w:tcW w:type="dxa" w:w="2016"/>
            <w:shd w:fill="F4F6F8"/>
          </w:tcPr>
          <w:p>
            <w:r>
              <w:rPr>
                <w:color w:val="1E232A"/>
                <w:sz w:val="18"/>
              </w:rPr>
              <w:t>2026-05-17</w:t>
            </w:r>
          </w:p>
        </w:tc>
        <w:tc>
          <w:tcPr>
            <w:tcW w:type="dxa" w:w="3600"/>
            <w:shd w:fill="F4F6F8"/>
          </w:tcPr>
          <w:p>
            <w:r>
              <w:rPr>
                <w:color w:val="1E232A"/>
                <w:sz w:val="18"/>
              </w:rPr>
              <w:t>Date account entered historical collections queue.</w:t>
            </w:r>
          </w:p>
        </w:tc>
      </w:tr>
      <w:tr>
        <w:tc>
          <w:tcPr>
            <w:tcW w:type="dxa" w:w="2592"/>
          </w:tcPr>
          <w:p>
            <w:r>
              <w:rPr>
                <w:color w:val="1E232A"/>
                <w:sz w:val="18"/>
              </w:rPr>
              <w:t>ACCT_NBR</w:t>
            </w:r>
          </w:p>
        </w:tc>
        <w:tc>
          <w:tcPr>
            <w:tcW w:type="dxa" w:w="1152"/>
          </w:tcPr>
          <w:p>
            <w:r>
              <w:rPr>
                <w:color w:val="1E232A"/>
                <w:sz w:val="18"/>
              </w:rPr>
              <w:t>TEXT</w:t>
            </w:r>
          </w:p>
        </w:tc>
        <w:tc>
          <w:tcPr>
            <w:tcW w:type="dxa" w:w="2016"/>
          </w:tcPr>
          <w:p>
            <w:r>
              <w:rPr>
                <w:color w:val="1E232A"/>
                <w:sz w:val="18"/>
              </w:rPr>
              <w:t>7000007</w:t>
            </w:r>
          </w:p>
        </w:tc>
        <w:tc>
          <w:tcPr>
            <w:tcW w:type="dxa" w:w="3600"/>
          </w:tcPr>
          <w:p>
            <w:r>
              <w:rPr>
                <w:color w:val="1E232A"/>
                <w:sz w:val="18"/>
              </w:rPr>
              <w:t>Primary account identifier linking loan servicing to risk and queue tables.</w:t>
            </w:r>
          </w:p>
        </w:tc>
      </w:tr>
      <w:tr>
        <w:tc>
          <w:tcPr>
            <w:tcW w:type="dxa" w:w="2592"/>
            <w:shd w:fill="F4F6F8"/>
          </w:tcPr>
          <w:p>
            <w:r>
              <w:rPr>
                <w:color w:val="1E232A"/>
                <w:sz w:val="18"/>
              </w:rPr>
              <w:t>CIF_KEY</w:t>
            </w:r>
          </w:p>
        </w:tc>
        <w:tc>
          <w:tcPr>
            <w:tcW w:type="dxa" w:w="1152"/>
            <w:shd w:fill="F4F6F8"/>
          </w:tcPr>
          <w:p>
            <w:r>
              <w:rPr>
                <w:color w:val="1E232A"/>
                <w:sz w:val="18"/>
              </w:rPr>
              <w:t>TEXT</w:t>
            </w:r>
          </w:p>
        </w:tc>
        <w:tc>
          <w:tcPr>
            <w:tcW w:type="dxa" w:w="2016"/>
            <w:shd w:fill="F4F6F8"/>
          </w:tcPr>
          <w:p>
            <w:r>
              <w:rPr>
                <w:color w:val="1E232A"/>
                <w:sz w:val="18"/>
              </w:rPr>
              <w:t>CIF100005</w:t>
            </w:r>
          </w:p>
        </w:tc>
        <w:tc>
          <w:tcPr>
            <w:tcW w:type="dxa" w:w="3600"/>
            <w:shd w:fill="F4F6F8"/>
          </w:tcPr>
          <w:p>
            <w:r>
              <w:rPr>
                <w:color w:val="1E232A"/>
                <w:sz w:val="18"/>
              </w:rPr>
              <w:t>Customer Information File key linking to member profile and CRM consents.</w:t>
            </w:r>
          </w:p>
        </w:tc>
      </w:tr>
      <w:tr>
        <w:tc>
          <w:tcPr>
            <w:tcW w:type="dxa" w:w="2592"/>
          </w:tcPr>
          <w:p>
            <w:r>
              <w:rPr>
                <w:color w:val="1E232A"/>
                <w:sz w:val="18"/>
              </w:rPr>
              <w:t>DPD_CNT</w:t>
            </w:r>
          </w:p>
        </w:tc>
        <w:tc>
          <w:tcPr>
            <w:tcW w:type="dxa" w:w="1152"/>
          </w:tcPr>
          <w:p>
            <w:r>
              <w:rPr>
                <w:color w:val="1E232A"/>
                <w:sz w:val="18"/>
              </w:rPr>
              <w:t>INTEGER</w:t>
            </w:r>
          </w:p>
        </w:tc>
        <w:tc>
          <w:tcPr>
            <w:tcW w:type="dxa" w:w="2016"/>
          </w:tcPr>
          <w:p>
            <w:r>
              <w:rPr>
                <w:color w:val="1E232A"/>
                <w:sz w:val="18"/>
              </w:rPr>
              <w:t>54</w:t>
            </w:r>
          </w:p>
        </w:tc>
        <w:tc>
          <w:tcPr>
            <w:tcW w:type="dxa" w:w="3600"/>
          </w:tcPr>
          <w:p>
            <w:r>
              <w:rPr>
                <w:color w:val="1E232A"/>
                <w:sz w:val="18"/>
              </w:rPr>
              <w:t>Days Past Due count (exact days behind on payment).</w:t>
            </w:r>
          </w:p>
        </w:tc>
      </w:tr>
      <w:tr>
        <w:tc>
          <w:tcPr>
            <w:tcW w:type="dxa" w:w="2592"/>
            <w:shd w:fill="F4F6F8"/>
          </w:tcPr>
          <w:p>
            <w:r>
              <w:rPr>
                <w:color w:val="1E232A"/>
                <w:sz w:val="18"/>
              </w:rPr>
              <w:t>CURR_BAL</w:t>
            </w:r>
          </w:p>
        </w:tc>
        <w:tc>
          <w:tcPr>
            <w:tcW w:type="dxa" w:w="1152"/>
            <w:shd w:fill="F4F6F8"/>
          </w:tcPr>
          <w:p>
            <w:r>
              <w:rPr>
                <w:color w:val="1E232A"/>
                <w:sz w:val="18"/>
              </w:rPr>
              <w:t>REAL</w:t>
            </w:r>
          </w:p>
        </w:tc>
        <w:tc>
          <w:tcPr>
            <w:tcW w:type="dxa" w:w="2016"/>
            <w:shd w:fill="F4F6F8"/>
          </w:tcPr>
          <w:p>
            <w:r>
              <w:rPr>
                <w:color w:val="1E232A"/>
                <w:sz w:val="18"/>
              </w:rPr>
              <w:t>3357.64</w:t>
            </w:r>
          </w:p>
        </w:tc>
        <w:tc>
          <w:tcPr>
            <w:tcW w:type="dxa" w:w="3600"/>
            <w:shd w:fill="F4F6F8"/>
          </w:tcPr>
          <w:p>
            <w:r>
              <w:rPr>
                <w:color w:val="1E232A"/>
                <w:sz w:val="18"/>
              </w:rPr>
              <w:t>Current outstanding balance owed (Exposure at Default).</w:t>
            </w:r>
          </w:p>
        </w:tc>
      </w:tr>
      <w:tr>
        <w:tc>
          <w:tcPr>
            <w:tcW w:type="dxa" w:w="2592"/>
          </w:tcPr>
          <w:p>
            <w:r>
              <w:rPr>
                <w:color w:val="1E232A"/>
                <w:sz w:val="18"/>
              </w:rPr>
              <w:t>RISK_GRADE</w:t>
            </w:r>
          </w:p>
        </w:tc>
        <w:tc>
          <w:tcPr>
            <w:tcW w:type="dxa" w:w="1152"/>
          </w:tcPr>
          <w:p>
            <w:r>
              <w:rPr>
                <w:color w:val="1E232A"/>
                <w:sz w:val="18"/>
              </w:rPr>
              <w:t>TEXT</w:t>
            </w:r>
          </w:p>
        </w:tc>
        <w:tc>
          <w:tcPr>
            <w:tcW w:type="dxa" w:w="2016"/>
          </w:tcPr>
          <w:p>
            <w:r>
              <w:rPr>
                <w:color w:val="1E232A"/>
                <w:sz w:val="18"/>
              </w:rPr>
              <w:t>C</w:t>
            </w:r>
          </w:p>
        </w:tc>
        <w:tc>
          <w:tcPr>
            <w:tcW w:type="dxa" w:w="3600"/>
          </w:tcPr>
          <w:p>
            <w:r>
              <w:rPr>
                <w:color w:val="1E232A"/>
                <w:sz w:val="18"/>
              </w:rPr>
              <w:t>Credit risk grade (A, B, C, D, E) from nightly predictive model.</w:t>
            </w:r>
          </w:p>
        </w:tc>
      </w:tr>
      <w:tr>
        <w:tc>
          <w:tcPr>
            <w:tcW w:type="dxa" w:w="2592"/>
            <w:shd w:fill="F4F6F8"/>
          </w:tcPr>
          <w:p>
            <w:r>
              <w:rPr>
                <w:color w:val="1E232A"/>
                <w:sz w:val="18"/>
              </w:rPr>
              <w:t>PMTS_MISSED_12M</w:t>
            </w:r>
          </w:p>
        </w:tc>
        <w:tc>
          <w:tcPr>
            <w:tcW w:type="dxa" w:w="1152"/>
            <w:shd w:fill="F4F6F8"/>
          </w:tcPr>
          <w:p>
            <w:r>
              <w:rPr>
                <w:color w:val="1E232A"/>
                <w:sz w:val="18"/>
              </w:rPr>
              <w:t>INTEGER</w:t>
            </w:r>
          </w:p>
        </w:tc>
        <w:tc>
          <w:tcPr>
            <w:tcW w:type="dxa" w:w="2016"/>
            <w:shd w:fill="F4F6F8"/>
          </w:tcPr>
          <w:p>
            <w:r>
              <w:rPr>
                <w:color w:val="1E232A"/>
                <w:sz w:val="18"/>
              </w:rPr>
              <w:t>3</w:t>
            </w:r>
          </w:p>
        </w:tc>
        <w:tc>
          <w:tcPr>
            <w:tcW w:type="dxa" w:w="3600"/>
            <w:shd w:fill="F4F6F8"/>
          </w:tcPr>
          <w:p>
            <w:r>
              <w:rPr>
                <w:color w:val="1E232A"/>
                <w:sz w:val="18"/>
              </w:rPr>
              <w:t>Cumulative count of missed payments in last 12 months.</w:t>
            </w:r>
          </w:p>
        </w:tc>
      </w:tr>
      <w:tr>
        <w:tc>
          <w:tcPr>
            <w:tcW w:type="dxa" w:w="2592"/>
          </w:tcPr>
          <w:p>
            <w:r>
              <w:rPr>
                <w:color w:val="1E232A"/>
                <w:sz w:val="18"/>
              </w:rPr>
              <w:t>MOS_SINCE_LAST_PMT</w:t>
            </w:r>
          </w:p>
        </w:tc>
        <w:tc>
          <w:tcPr>
            <w:tcW w:type="dxa" w:w="1152"/>
          </w:tcPr>
          <w:p>
            <w:r>
              <w:rPr>
                <w:color w:val="1E232A"/>
                <w:sz w:val="18"/>
              </w:rPr>
              <w:t>INTEGER</w:t>
            </w:r>
          </w:p>
        </w:tc>
        <w:tc>
          <w:tcPr>
            <w:tcW w:type="dxa" w:w="2016"/>
          </w:tcPr>
          <w:p>
            <w:r>
              <w:rPr>
                <w:color w:val="1E232A"/>
                <w:sz w:val="18"/>
              </w:rPr>
              <w:t>2</w:t>
            </w:r>
          </w:p>
        </w:tc>
        <w:tc>
          <w:tcPr>
            <w:tcW w:type="dxa" w:w="3600"/>
          </w:tcPr>
          <w:p>
            <w:r>
              <w:rPr>
                <w:color w:val="1E232A"/>
                <w:sz w:val="18"/>
              </w:rPr>
              <w:t>Months elapsed since last successful payment.</w:t>
            </w:r>
          </w:p>
        </w:tc>
      </w:tr>
      <w:tr>
        <w:tc>
          <w:tcPr>
            <w:tcW w:type="dxa" w:w="2592"/>
            <w:shd w:fill="F4F6F8"/>
          </w:tcPr>
          <w:p>
            <w:r>
              <w:rPr>
                <w:color w:val="1E232A"/>
                <w:sz w:val="18"/>
              </w:rPr>
              <w:t>ACTION_CD</w:t>
            </w:r>
          </w:p>
        </w:tc>
        <w:tc>
          <w:tcPr>
            <w:tcW w:type="dxa" w:w="1152"/>
            <w:shd w:fill="F4F6F8"/>
          </w:tcPr>
          <w:p>
            <w:r>
              <w:rPr>
                <w:color w:val="1E232A"/>
                <w:sz w:val="18"/>
              </w:rPr>
              <w:t>TEXT</w:t>
            </w:r>
          </w:p>
        </w:tc>
        <w:tc>
          <w:tcPr>
            <w:tcW w:type="dxa" w:w="2016"/>
            <w:shd w:fill="F4F6F8"/>
          </w:tcPr>
          <w:p>
            <w:r>
              <w:rPr>
                <w:color w:val="1E232A"/>
                <w:sz w:val="18"/>
              </w:rPr>
              <w:t>NONE</w:t>
            </w:r>
          </w:p>
        </w:tc>
        <w:tc>
          <w:tcPr>
            <w:tcW w:type="dxa" w:w="3600"/>
            <w:shd w:fill="F4F6F8"/>
          </w:tcPr>
          <w:p>
            <w:r>
              <w:rPr>
                <w:color w:val="1E232A"/>
                <w:sz w:val="18"/>
              </w:rPr>
              <w:t>Action taken on date t: NONE, SMS, CALL, PLAN, HARDSHIP.</w:t>
            </w:r>
          </w:p>
        </w:tc>
      </w:tr>
      <w:tr>
        <w:tc>
          <w:tcPr>
            <w:tcW w:type="dxa" w:w="2592"/>
          </w:tcPr>
          <w:p>
            <w:r>
              <w:rPr>
                <w:color w:val="1E232A"/>
                <w:sz w:val="18"/>
              </w:rPr>
              <w:t>RPC_IND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1 if right-party contact was established during outreach.</w:t>
            </w:r>
          </w:p>
        </w:tc>
      </w:tr>
    </w:tbl>
    <w:p>
      <w:pPr>
        <w:pStyle w:val="Heading2"/>
        <w:spacing w:before="240" w:after="80"/>
      </w:pPr>
      <w:r>
        <w:t>Table: consents (4,000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CIF_KEY</w:t>
            </w:r>
          </w:p>
        </w:tc>
        <w:tc>
          <w:tcPr>
            <w:tcW w:type="dxa" w:w="1152"/>
            <w:shd w:fill="F4F6F8"/>
          </w:tcPr>
          <w:p>
            <w:r>
              <w:rPr>
                <w:color w:val="1E232A"/>
                <w:sz w:val="18"/>
              </w:rPr>
              <w:t>TEXT</w:t>
            </w:r>
          </w:p>
        </w:tc>
        <w:tc>
          <w:tcPr>
            <w:tcW w:type="dxa" w:w="2016"/>
            <w:shd w:fill="F4F6F8"/>
          </w:tcPr>
          <w:p>
            <w:r>
              <w:rPr>
                <w:color w:val="1E232A"/>
                <w:sz w:val="18"/>
              </w:rPr>
              <w:t>CIF100000</w:t>
            </w:r>
          </w:p>
        </w:tc>
        <w:tc>
          <w:tcPr>
            <w:tcW w:type="dxa" w:w="3600"/>
            <w:shd w:fill="F4F6F8"/>
          </w:tcPr>
          <w:p>
            <w:r>
              <w:rPr>
                <w:color w:val="1E232A"/>
                <w:sz w:val="18"/>
              </w:rPr>
              <w:t>Customer Information File key linking to member profile and CRM consents.</w:t>
            </w:r>
          </w:p>
        </w:tc>
      </w:tr>
      <w:tr>
        <w:tc>
          <w:tcPr>
            <w:tcW w:type="dxa" w:w="2592"/>
          </w:tcPr>
          <w:p>
            <w:r>
              <w:rPr>
                <w:color w:val="1E232A"/>
                <w:sz w:val="18"/>
              </w:rPr>
              <w:t>PHONE_CONSENT_IND</w:t>
            </w:r>
          </w:p>
        </w:tc>
        <w:tc>
          <w:tcPr>
            <w:tcW w:type="dxa" w:w="1152"/>
          </w:tcPr>
          <w:p>
            <w:r>
              <w:rPr>
                <w:color w:val="1E232A"/>
                <w:sz w:val="18"/>
              </w:rPr>
              <w:t>INTEGER</w:t>
            </w:r>
          </w:p>
        </w:tc>
        <w:tc>
          <w:tcPr>
            <w:tcW w:type="dxa" w:w="2016"/>
          </w:tcPr>
          <w:p>
            <w:r>
              <w:rPr>
                <w:color w:val="1E232A"/>
                <w:sz w:val="18"/>
              </w:rPr>
              <w:t>1</w:t>
            </w:r>
          </w:p>
        </w:tc>
        <w:tc>
          <w:tcPr>
            <w:tcW w:type="dxa" w:w="3600"/>
          </w:tcPr>
          <w:p>
            <w:r>
              <w:rPr>
                <w:color w:val="1E232A"/>
                <w:sz w:val="18"/>
              </w:rPr>
              <w:t>1 if TCPA consent provided for voice calling.</w:t>
            </w:r>
          </w:p>
        </w:tc>
      </w:tr>
      <w:tr>
        <w:tc>
          <w:tcPr>
            <w:tcW w:type="dxa" w:w="2592"/>
            <w:shd w:fill="F4F6F8"/>
          </w:tcPr>
          <w:p>
            <w:r>
              <w:rPr>
                <w:color w:val="1E232A"/>
                <w:sz w:val="18"/>
              </w:rPr>
              <w:t>SMS_CONSENT_IND</w:t>
            </w:r>
          </w:p>
        </w:tc>
        <w:tc>
          <w:tcPr>
            <w:tcW w:type="dxa" w:w="1152"/>
            <w:shd w:fill="F4F6F8"/>
          </w:tcPr>
          <w:p>
            <w:r>
              <w:rPr>
                <w:color w:val="1E232A"/>
                <w:sz w:val="18"/>
              </w:rPr>
              <w:t>INTEGER</w:t>
            </w:r>
          </w:p>
        </w:tc>
        <w:tc>
          <w:tcPr>
            <w:tcW w:type="dxa" w:w="2016"/>
            <w:shd w:fill="F4F6F8"/>
          </w:tcPr>
          <w:p>
            <w:r>
              <w:rPr>
                <w:color w:val="1E232A"/>
                <w:sz w:val="18"/>
              </w:rPr>
              <w:t>1</w:t>
            </w:r>
          </w:p>
        </w:tc>
        <w:tc>
          <w:tcPr>
            <w:tcW w:type="dxa" w:w="3600"/>
            <w:shd w:fill="F4F6F8"/>
          </w:tcPr>
          <w:p>
            <w:r>
              <w:rPr>
                <w:color w:val="1E232A"/>
                <w:sz w:val="18"/>
              </w:rPr>
              <w:t>1 if consent provided for SMS messaging.</w:t>
            </w:r>
          </w:p>
        </w:tc>
      </w:tr>
      <w:tr>
        <w:tc>
          <w:tcPr>
            <w:tcW w:type="dxa" w:w="2592"/>
          </w:tcPr>
          <w:p>
            <w:r>
              <w:rPr>
                <w:color w:val="1E232A"/>
                <w:sz w:val="18"/>
              </w:rPr>
              <w:t>EMAIL_CONSENT_IND</w:t>
            </w:r>
          </w:p>
        </w:tc>
        <w:tc>
          <w:tcPr>
            <w:tcW w:type="dxa" w:w="1152"/>
          </w:tcPr>
          <w:p>
            <w:r>
              <w:rPr>
                <w:color w:val="1E232A"/>
                <w:sz w:val="18"/>
              </w:rPr>
              <w:t>INTEGER</w:t>
            </w:r>
          </w:p>
        </w:tc>
        <w:tc>
          <w:tcPr>
            <w:tcW w:type="dxa" w:w="2016"/>
          </w:tcPr>
          <w:p>
            <w:r>
              <w:rPr>
                <w:color w:val="1E232A"/>
                <w:sz w:val="18"/>
              </w:rPr>
              <w:t>1</w:t>
            </w:r>
          </w:p>
        </w:tc>
        <w:tc>
          <w:tcPr>
            <w:tcW w:type="dxa" w:w="3600"/>
          </w:tcPr>
          <w:p>
            <w:r>
              <w:rPr>
                <w:color w:val="1E232A"/>
                <w:sz w:val="18"/>
              </w:rPr>
              <w:t>1 if consent provided for email outreach.</w:t>
            </w:r>
          </w:p>
        </w:tc>
      </w:tr>
      <w:tr>
        <w:tc>
          <w:tcPr>
            <w:tcW w:type="dxa" w:w="2592"/>
            <w:shd w:fill="F4F6F8"/>
          </w:tcPr>
          <w:p>
            <w:r>
              <w:rPr>
                <w:color w:val="1E232A"/>
                <w:sz w:val="18"/>
              </w:rPr>
              <w:t>DNC_IND</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1 if registered on internal Do-Not-Call list.</w:t>
            </w:r>
          </w:p>
        </w:tc>
      </w:tr>
      <w:tr>
        <w:tc>
          <w:tcPr>
            <w:tcW w:type="dxa" w:w="2592"/>
          </w:tcPr>
          <w:p>
            <w:r>
              <w:rPr>
                <w:color w:val="1E232A"/>
                <w:sz w:val="18"/>
              </w:rPr>
              <w:t>CONTACTS_7D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Rolling count of contact attempts in last 7 days.</w:t>
            </w:r>
          </w:p>
        </w:tc>
      </w:tr>
      <w:tr>
        <w:tc>
          <w:tcPr>
            <w:tcW w:type="dxa" w:w="2592"/>
            <w:shd w:fill="F4F6F8"/>
          </w:tcPr>
          <w:p>
            <w:r>
              <w:rPr>
                <w:color w:val="1E232A"/>
                <w:sz w:val="18"/>
              </w:rPr>
              <w:t>LAST_RPC_DT</w:t>
            </w:r>
          </w:p>
        </w:tc>
        <w:tc>
          <w:tcPr>
            <w:tcW w:type="dxa" w:w="1152"/>
            <w:shd w:fill="F4F6F8"/>
          </w:tcPr>
          <w:p>
            <w:r>
              <w:rPr>
                <w:color w:val="1E232A"/>
                <w:sz w:val="18"/>
              </w:rPr>
              <w:t>TEXT</w:t>
            </w:r>
          </w:p>
        </w:tc>
        <w:tc>
          <w:tcPr>
            <w:tcW w:type="dxa" w:w="2016"/>
            <w:shd w:fill="F4F6F8"/>
          </w:tcPr>
          <w:p>
            <w:r>
              <w:rPr>
                <w:color w:val="1E232A"/>
                <w:sz w:val="18"/>
              </w:rPr>
              <w:t>None</w:t>
            </w:r>
          </w:p>
        </w:tc>
        <w:tc>
          <w:tcPr>
            <w:tcW w:type="dxa" w:w="3600"/>
            <w:shd w:fill="F4F6F8"/>
          </w:tcPr>
          <w:p>
            <w:r>
              <w:rPr>
                <w:color w:val="1E232A"/>
                <w:sz w:val="18"/>
              </w:rPr>
              <w:t>Date of most recent Right-Party Contact (conversation).</w:t>
            </w:r>
          </w:p>
        </w:tc>
      </w:tr>
    </w:tbl>
    <w:p>
      <w:pPr>
        <w:pStyle w:val="Heading2"/>
        <w:spacing w:before="240" w:after="80"/>
      </w:pPr>
      <w:r>
        <w:t>Table: members (4,000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CIF_KEY</w:t>
            </w:r>
          </w:p>
        </w:tc>
        <w:tc>
          <w:tcPr>
            <w:tcW w:type="dxa" w:w="1152"/>
            <w:shd w:fill="F4F6F8"/>
          </w:tcPr>
          <w:p>
            <w:r>
              <w:rPr>
                <w:color w:val="1E232A"/>
                <w:sz w:val="18"/>
              </w:rPr>
              <w:t>TEXT</w:t>
            </w:r>
          </w:p>
        </w:tc>
        <w:tc>
          <w:tcPr>
            <w:tcW w:type="dxa" w:w="2016"/>
            <w:shd w:fill="F4F6F8"/>
          </w:tcPr>
          <w:p>
            <w:r>
              <w:rPr>
                <w:color w:val="1E232A"/>
                <w:sz w:val="18"/>
              </w:rPr>
              <w:t>CIF100000</w:t>
            </w:r>
          </w:p>
        </w:tc>
        <w:tc>
          <w:tcPr>
            <w:tcW w:type="dxa" w:w="3600"/>
            <w:shd w:fill="F4F6F8"/>
          </w:tcPr>
          <w:p>
            <w:r>
              <w:rPr>
                <w:color w:val="1E232A"/>
                <w:sz w:val="18"/>
              </w:rPr>
              <w:t>Customer Information File key linking to member profile and CRM consents.</w:t>
            </w:r>
          </w:p>
        </w:tc>
      </w:tr>
      <w:tr>
        <w:tc>
          <w:tcPr>
            <w:tcW w:type="dxa" w:w="2592"/>
          </w:tcPr>
          <w:p>
            <w:r>
              <w:rPr>
                <w:color w:val="1E232A"/>
                <w:sz w:val="18"/>
              </w:rPr>
              <w:t>FIRST_NM</w:t>
            </w:r>
          </w:p>
        </w:tc>
        <w:tc>
          <w:tcPr>
            <w:tcW w:type="dxa" w:w="1152"/>
          </w:tcPr>
          <w:p>
            <w:r>
              <w:rPr>
                <w:color w:val="1E232A"/>
                <w:sz w:val="18"/>
              </w:rPr>
              <w:t>TEXT</w:t>
            </w:r>
          </w:p>
        </w:tc>
        <w:tc>
          <w:tcPr>
            <w:tcW w:type="dxa" w:w="2016"/>
          </w:tcPr>
          <w:p>
            <w:r>
              <w:rPr>
                <w:color w:val="1E232A"/>
                <w:sz w:val="18"/>
              </w:rPr>
              <w:t>Omar</w:t>
            </w:r>
          </w:p>
        </w:tc>
        <w:tc>
          <w:tcPr>
            <w:tcW w:type="dxa" w:w="3600"/>
          </w:tcPr>
          <w:p>
            <w:r>
              <w:rPr>
                <w:color w:val="1E232A"/>
                <w:sz w:val="18"/>
              </w:rPr>
              <w:t>Borrower first name (PII - vaulted and tokenized).</w:t>
            </w:r>
          </w:p>
        </w:tc>
      </w:tr>
      <w:tr>
        <w:tc>
          <w:tcPr>
            <w:tcW w:type="dxa" w:w="2592"/>
            <w:shd w:fill="F4F6F8"/>
          </w:tcPr>
          <w:p>
            <w:r>
              <w:rPr>
                <w:color w:val="1E232A"/>
                <w:sz w:val="18"/>
              </w:rPr>
              <w:t>LAST_NM</w:t>
            </w:r>
          </w:p>
        </w:tc>
        <w:tc>
          <w:tcPr>
            <w:tcW w:type="dxa" w:w="1152"/>
            <w:shd w:fill="F4F6F8"/>
          </w:tcPr>
          <w:p>
            <w:r>
              <w:rPr>
                <w:color w:val="1E232A"/>
                <w:sz w:val="18"/>
              </w:rPr>
              <w:t>TEXT</w:t>
            </w:r>
          </w:p>
        </w:tc>
        <w:tc>
          <w:tcPr>
            <w:tcW w:type="dxa" w:w="2016"/>
            <w:shd w:fill="F4F6F8"/>
          </w:tcPr>
          <w:p>
            <w:r>
              <w:rPr>
                <w:color w:val="1E232A"/>
                <w:sz w:val="18"/>
              </w:rPr>
              <w:t>Brooks</w:t>
            </w:r>
          </w:p>
        </w:tc>
        <w:tc>
          <w:tcPr>
            <w:tcW w:type="dxa" w:w="3600"/>
            <w:shd w:fill="F4F6F8"/>
          </w:tcPr>
          <w:p>
            <w:r>
              <w:rPr>
                <w:color w:val="1E232A"/>
                <w:sz w:val="18"/>
              </w:rPr>
              <w:t>Borrower last name (PII - vaulted and tokenized).</w:t>
            </w:r>
          </w:p>
        </w:tc>
      </w:tr>
      <w:tr>
        <w:tc>
          <w:tcPr>
            <w:tcW w:type="dxa" w:w="2592"/>
          </w:tcPr>
          <w:p>
            <w:r>
              <w:rPr>
                <w:color w:val="1E232A"/>
                <w:sz w:val="18"/>
              </w:rPr>
              <w:t>PHONE_NBR</w:t>
            </w:r>
          </w:p>
        </w:tc>
        <w:tc>
          <w:tcPr>
            <w:tcW w:type="dxa" w:w="1152"/>
          </w:tcPr>
          <w:p>
            <w:r>
              <w:rPr>
                <w:color w:val="1E232A"/>
                <w:sz w:val="18"/>
              </w:rPr>
              <w:t>TEXT</w:t>
            </w:r>
          </w:p>
        </w:tc>
        <w:tc>
          <w:tcPr>
            <w:tcW w:type="dxa" w:w="2016"/>
          </w:tcPr>
          <w:p>
            <w:r>
              <w:rPr>
                <w:color w:val="1E232A"/>
                <w:sz w:val="18"/>
              </w:rPr>
              <w:t>+1-555-0120-2529</w:t>
            </w:r>
          </w:p>
        </w:tc>
        <w:tc>
          <w:tcPr>
            <w:tcW w:type="dxa" w:w="3600"/>
          </w:tcPr>
          <w:p>
            <w:r>
              <w:rPr>
                <w:color w:val="1E232A"/>
                <w:sz w:val="18"/>
              </w:rPr>
              <w:t>Primary phone number (PII).</w:t>
            </w:r>
          </w:p>
        </w:tc>
      </w:tr>
      <w:tr>
        <w:tc>
          <w:tcPr>
            <w:tcW w:type="dxa" w:w="2592"/>
            <w:shd w:fill="F4F6F8"/>
          </w:tcPr>
          <w:p>
            <w:r>
              <w:rPr>
                <w:color w:val="1E232A"/>
                <w:sz w:val="18"/>
              </w:rPr>
              <w:t>EMAIL_ADDR</w:t>
            </w:r>
          </w:p>
        </w:tc>
        <w:tc>
          <w:tcPr>
            <w:tcW w:type="dxa" w:w="1152"/>
            <w:shd w:fill="F4F6F8"/>
          </w:tcPr>
          <w:p>
            <w:r>
              <w:rPr>
                <w:color w:val="1E232A"/>
                <w:sz w:val="18"/>
              </w:rPr>
              <w:t>TEXT</w:t>
            </w:r>
          </w:p>
        </w:tc>
        <w:tc>
          <w:tcPr>
            <w:tcW w:type="dxa" w:w="2016"/>
            <w:shd w:fill="F4F6F8"/>
          </w:tcPr>
          <w:p>
            <w:r>
              <w:rPr>
                <w:color w:val="1E232A"/>
                <w:sz w:val="18"/>
              </w:rPr>
              <w:t>member100000@example.org</w:t>
            </w:r>
          </w:p>
        </w:tc>
        <w:tc>
          <w:tcPr>
            <w:tcW w:type="dxa" w:w="3600"/>
            <w:shd w:fill="F4F6F8"/>
          </w:tcPr>
          <w:p>
            <w:r>
              <w:rPr>
                <w:color w:val="1E232A"/>
                <w:sz w:val="18"/>
              </w:rPr>
              <w:t>Primary email address (PII).</w:t>
            </w:r>
          </w:p>
        </w:tc>
      </w:tr>
      <w:tr>
        <w:tc>
          <w:tcPr>
            <w:tcW w:type="dxa" w:w="2592"/>
          </w:tcPr>
          <w:p>
            <w:r>
              <w:rPr>
                <w:color w:val="1E232A"/>
                <w:sz w:val="18"/>
              </w:rPr>
              <w:t>TZ_CD</w:t>
            </w:r>
          </w:p>
        </w:tc>
        <w:tc>
          <w:tcPr>
            <w:tcW w:type="dxa" w:w="1152"/>
          </w:tcPr>
          <w:p>
            <w:r>
              <w:rPr>
                <w:color w:val="1E232A"/>
                <w:sz w:val="18"/>
              </w:rPr>
              <w:t>TEXT</w:t>
            </w:r>
          </w:p>
        </w:tc>
        <w:tc>
          <w:tcPr>
            <w:tcW w:type="dxa" w:w="2016"/>
          </w:tcPr>
          <w:p>
            <w:r>
              <w:rPr>
                <w:color w:val="1E232A"/>
                <w:sz w:val="18"/>
              </w:rPr>
              <w:t>America/Chicago</w:t>
            </w:r>
          </w:p>
        </w:tc>
        <w:tc>
          <w:tcPr>
            <w:tcW w:type="dxa" w:w="3600"/>
          </w:tcPr>
          <w:p>
            <w:r>
              <w:rPr>
                <w:color w:val="1E232A"/>
                <w:sz w:val="18"/>
              </w:rPr>
              <w:t>Time zone code (used for TCPA lawful calling windows).</w:t>
            </w:r>
          </w:p>
        </w:tc>
      </w:tr>
      <w:tr>
        <w:tc>
          <w:tcPr>
            <w:tcW w:type="dxa" w:w="2592"/>
            <w:shd w:fill="F4F6F8"/>
          </w:tcPr>
          <w:p>
            <w:r>
              <w:rPr>
                <w:color w:val="1E232A"/>
                <w:sz w:val="18"/>
              </w:rPr>
              <w:t>LANG_CD</w:t>
            </w:r>
          </w:p>
        </w:tc>
        <w:tc>
          <w:tcPr>
            <w:tcW w:type="dxa" w:w="1152"/>
            <w:shd w:fill="F4F6F8"/>
          </w:tcPr>
          <w:p>
            <w:r>
              <w:rPr>
                <w:color w:val="1E232A"/>
                <w:sz w:val="18"/>
              </w:rPr>
              <w:t>TEXT</w:t>
            </w:r>
          </w:p>
        </w:tc>
        <w:tc>
          <w:tcPr>
            <w:tcW w:type="dxa" w:w="2016"/>
            <w:shd w:fill="F4F6F8"/>
          </w:tcPr>
          <w:p>
            <w:r>
              <w:rPr>
                <w:color w:val="1E232A"/>
                <w:sz w:val="18"/>
              </w:rPr>
              <w:t>en</w:t>
            </w:r>
          </w:p>
        </w:tc>
        <w:tc>
          <w:tcPr>
            <w:tcW w:type="dxa" w:w="3600"/>
            <w:shd w:fill="F4F6F8"/>
          </w:tcPr>
          <w:p>
            <w:r>
              <w:rPr>
                <w:color w:val="1E232A"/>
                <w:sz w:val="18"/>
              </w:rPr>
              <w:t>Preferred language code (en, es).</w:t>
            </w:r>
          </w:p>
        </w:tc>
      </w:tr>
      <w:tr>
        <w:tc>
          <w:tcPr>
            <w:tcW w:type="dxa" w:w="2592"/>
          </w:tcPr>
          <w:p>
            <w:r>
              <w:rPr>
                <w:color w:val="1E232A"/>
                <w:sz w:val="18"/>
              </w:rPr>
              <w:t>MEMBER_SINCE_DT</w:t>
            </w:r>
          </w:p>
        </w:tc>
        <w:tc>
          <w:tcPr>
            <w:tcW w:type="dxa" w:w="1152"/>
          </w:tcPr>
          <w:p>
            <w:r>
              <w:rPr>
                <w:color w:val="1E232A"/>
                <w:sz w:val="18"/>
              </w:rPr>
              <w:t>TEXT</w:t>
            </w:r>
          </w:p>
        </w:tc>
        <w:tc>
          <w:tcPr>
            <w:tcW w:type="dxa" w:w="2016"/>
          </w:tcPr>
          <w:p>
            <w:r>
              <w:rPr>
                <w:color w:val="1E232A"/>
                <w:sz w:val="18"/>
              </w:rPr>
              <w:t>2013-11-21</w:t>
            </w:r>
          </w:p>
        </w:tc>
        <w:tc>
          <w:tcPr>
            <w:tcW w:type="dxa" w:w="3600"/>
          </w:tcPr>
          <w:p>
            <w:r>
              <w:rPr>
                <w:color w:val="1E232A"/>
                <w:sz w:val="18"/>
              </w:rPr>
              <w:t>Date customer joined credit union.</w:t>
            </w:r>
          </w:p>
        </w:tc>
      </w:tr>
      <w:tr>
        <w:tc>
          <w:tcPr>
            <w:tcW w:type="dxa" w:w="2592"/>
            <w:shd w:fill="F4F6F8"/>
          </w:tcPr>
          <w:p>
            <w:r>
              <w:rPr>
                <w:color w:val="1E232A"/>
                <w:sz w:val="18"/>
              </w:rPr>
              <w:t>TENURE_MOS</w:t>
            </w:r>
          </w:p>
        </w:tc>
        <w:tc>
          <w:tcPr>
            <w:tcW w:type="dxa" w:w="1152"/>
            <w:shd w:fill="F4F6F8"/>
          </w:tcPr>
          <w:p>
            <w:r>
              <w:rPr>
                <w:color w:val="1E232A"/>
                <w:sz w:val="18"/>
              </w:rPr>
              <w:t>INTEGER</w:t>
            </w:r>
          </w:p>
        </w:tc>
        <w:tc>
          <w:tcPr>
            <w:tcW w:type="dxa" w:w="2016"/>
            <w:shd w:fill="F4F6F8"/>
          </w:tcPr>
          <w:p>
            <w:r>
              <w:rPr>
                <w:color w:val="1E232A"/>
                <w:sz w:val="18"/>
              </w:rPr>
              <w:t>156</w:t>
            </w:r>
          </w:p>
        </w:tc>
        <w:tc>
          <w:tcPr>
            <w:tcW w:type="dxa" w:w="3600"/>
            <w:shd w:fill="F4F6F8"/>
          </w:tcPr>
          <w:p>
            <w:r>
              <w:rPr>
                <w:color w:val="1E232A"/>
                <w:sz w:val="18"/>
              </w:rPr>
              <w:t>Total membership tenure in months.</w:t>
            </w:r>
          </w:p>
        </w:tc>
      </w:tr>
      <w:tr>
        <w:tc>
          <w:tcPr>
            <w:tcW w:type="dxa" w:w="2592"/>
          </w:tcPr>
          <w:p>
            <w:r>
              <w:rPr>
                <w:color w:val="1E232A"/>
                <w:sz w:val="18"/>
              </w:rPr>
              <w:t>DIRECT_DEPOSIT_IND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1 if active direct deposit on file (loyalty signal).</w:t>
            </w:r>
          </w:p>
        </w:tc>
      </w:tr>
      <w:tr>
        <w:tc>
          <w:tcPr>
            <w:tcW w:type="dxa" w:w="2592"/>
            <w:shd w:fill="F4F6F8"/>
          </w:tcPr>
          <w:p>
            <w:r>
              <w:rPr>
                <w:color w:val="1E232A"/>
                <w:sz w:val="18"/>
              </w:rPr>
              <w:t>DECEASED_IND</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1 if deceased (strict legal suppression).</w:t>
            </w:r>
          </w:p>
        </w:tc>
      </w:tr>
      <w:tr>
        <w:tc>
          <w:tcPr>
            <w:tcW w:type="dxa" w:w="2592"/>
          </w:tcPr>
          <w:p>
            <w:r>
              <w:rPr>
                <w:color w:val="1E232A"/>
                <w:sz w:val="18"/>
              </w:rPr>
              <w:t>BANKRUPTCY_IND</w:t>
            </w:r>
          </w:p>
        </w:tc>
        <w:tc>
          <w:tcPr>
            <w:tcW w:type="dxa" w:w="1152"/>
          </w:tcPr>
          <w:p>
            <w:r>
              <w:rPr>
                <w:color w:val="1E232A"/>
                <w:sz w:val="18"/>
              </w:rPr>
              <w:t>INTEGER</w:t>
            </w:r>
          </w:p>
        </w:tc>
        <w:tc>
          <w:tcPr>
            <w:tcW w:type="dxa" w:w="2016"/>
          </w:tcPr>
          <w:p>
            <w:r>
              <w:rPr>
                <w:color w:val="1E232A"/>
                <w:sz w:val="18"/>
              </w:rPr>
              <w:t>0</w:t>
            </w:r>
          </w:p>
        </w:tc>
        <w:tc>
          <w:tcPr>
            <w:tcW w:type="dxa" w:w="3600"/>
          </w:tcPr>
          <w:p>
            <w:r>
              <w:rPr>
                <w:color w:val="1E232A"/>
                <w:sz w:val="18"/>
              </w:rPr>
              <w:t>1 if active bankruptcy (strict legal suppression).</w:t>
            </w:r>
          </w:p>
        </w:tc>
      </w:tr>
      <w:tr>
        <w:tc>
          <w:tcPr>
            <w:tcW w:type="dxa" w:w="2592"/>
            <w:shd w:fill="F4F6F8"/>
          </w:tcPr>
          <w:p>
            <w:r>
              <w:rPr>
                <w:color w:val="1E232A"/>
                <w:sz w:val="18"/>
              </w:rPr>
              <w:t>CEASE_DESIST_IND</w:t>
            </w:r>
          </w:p>
        </w:tc>
        <w:tc>
          <w:tcPr>
            <w:tcW w:type="dxa" w:w="1152"/>
            <w:shd w:fill="F4F6F8"/>
          </w:tcPr>
          <w:p>
            <w:r>
              <w:rPr>
                <w:color w:val="1E232A"/>
                <w:sz w:val="18"/>
              </w:rPr>
              <w:t>INTEGER</w:t>
            </w:r>
          </w:p>
        </w:tc>
        <w:tc>
          <w:tcPr>
            <w:tcW w:type="dxa" w:w="2016"/>
            <w:shd w:fill="F4F6F8"/>
          </w:tcPr>
          <w:p>
            <w:r>
              <w:rPr>
                <w:color w:val="1E232A"/>
                <w:sz w:val="18"/>
              </w:rPr>
              <w:t>0</w:t>
            </w:r>
          </w:p>
        </w:tc>
        <w:tc>
          <w:tcPr>
            <w:tcW w:type="dxa" w:w="3600"/>
            <w:shd w:fill="F4F6F8"/>
          </w:tcPr>
          <w:p>
            <w:r>
              <w:rPr>
                <w:color w:val="1E232A"/>
                <w:sz w:val="18"/>
              </w:rPr>
              <w:t>1 if cease &amp; desist notice active (strict legal suppression).</w:t>
            </w:r>
          </w:p>
        </w:tc>
      </w:tr>
    </w:tbl>
    <w:p>
      <w:pPr>
        <w:pStyle w:val="Heading2"/>
        <w:spacing w:before="240" w:after="80"/>
      </w:pPr>
      <w:r>
        <w:t>Table: meta (3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key</w:t>
            </w:r>
          </w:p>
        </w:tc>
        <w:tc>
          <w:tcPr>
            <w:tcW w:type="dxa" w:w="1152"/>
            <w:shd w:fill="F4F6F8"/>
          </w:tcPr>
          <w:p>
            <w:r>
              <w:rPr>
                <w:color w:val="1E232A"/>
                <w:sz w:val="18"/>
              </w:rPr>
              <w:t>TEXT</w:t>
            </w:r>
          </w:p>
        </w:tc>
        <w:tc>
          <w:tcPr>
            <w:tcW w:type="dxa" w:w="2016"/>
            <w:shd w:fill="F4F6F8"/>
          </w:tcPr>
          <w:p>
            <w:r>
              <w:rPr>
                <w:color w:val="1E232A"/>
                <w:sz w:val="18"/>
              </w:rPr>
              <w:t>as_of</w:t>
            </w:r>
          </w:p>
        </w:tc>
        <w:tc>
          <w:tcPr>
            <w:tcW w:type="dxa" w:w="3600"/>
            <w:shd w:fill="F4F6F8"/>
          </w:tcPr>
          <w:p>
            <w:r>
              <w:rPr>
                <w:color w:val="1E232A"/>
                <w:sz w:val="18"/>
              </w:rPr>
              <w:t>Configuration / metadata key name.</w:t>
            </w:r>
          </w:p>
        </w:tc>
      </w:tr>
      <w:tr>
        <w:tc>
          <w:tcPr>
            <w:tcW w:type="dxa" w:w="2592"/>
          </w:tcPr>
          <w:p>
            <w:r>
              <w:rPr>
                <w:color w:val="1E232A"/>
                <w:sz w:val="18"/>
              </w:rPr>
              <w:t>value</w:t>
            </w:r>
          </w:p>
        </w:tc>
        <w:tc>
          <w:tcPr>
            <w:tcW w:type="dxa" w:w="1152"/>
          </w:tcPr>
          <w:p>
            <w:r>
              <w:rPr>
                <w:color w:val="1E232A"/>
                <w:sz w:val="18"/>
              </w:rPr>
              <w:t>TEXT</w:t>
            </w:r>
          </w:p>
        </w:tc>
        <w:tc>
          <w:tcPr>
            <w:tcW w:type="dxa" w:w="2016"/>
          </w:tcPr>
          <w:p>
            <w:r>
              <w:rPr>
                <w:color w:val="1E232A"/>
                <w:sz w:val="18"/>
              </w:rPr>
              <w:t>2026-09-14</w:t>
            </w:r>
          </w:p>
        </w:tc>
        <w:tc>
          <w:tcPr>
            <w:tcW w:type="dxa" w:w="3600"/>
          </w:tcPr>
          <w:p>
            <w:r>
              <w:rPr>
                <w:color w:val="1E232A"/>
                <w:sz w:val="18"/>
              </w:rPr>
              <w:t>Configuration / metadata key value.</w:t>
            </w:r>
          </w:p>
        </w:tc>
      </w:tr>
    </w:tbl>
    <w:p>
      <w:pPr>
        <w:pStyle w:val="Heading2"/>
        <w:spacing w:before="240" w:after="80"/>
      </w:pPr>
      <w:r>
        <w:t>Table: outcomes (16,322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ACCT_NBR</w:t>
            </w:r>
          </w:p>
        </w:tc>
        <w:tc>
          <w:tcPr>
            <w:tcW w:type="dxa" w:w="1152"/>
            <w:shd w:fill="F4F6F8"/>
          </w:tcPr>
          <w:p>
            <w:r>
              <w:rPr>
                <w:color w:val="1E232A"/>
                <w:sz w:val="18"/>
              </w:rPr>
              <w:t>TEXT</w:t>
            </w:r>
          </w:p>
        </w:tc>
        <w:tc>
          <w:tcPr>
            <w:tcW w:type="dxa" w:w="2016"/>
            <w:shd w:fill="F4F6F8"/>
          </w:tcPr>
          <w:p>
            <w:r>
              <w:rPr>
                <w:color w:val="1E232A"/>
                <w:sz w:val="18"/>
              </w:rPr>
              <w:t>7000007</w:t>
            </w:r>
          </w:p>
        </w:tc>
        <w:tc>
          <w:tcPr>
            <w:tcW w:type="dxa" w:w="3600"/>
            <w:shd w:fill="F4F6F8"/>
          </w:tcPr>
          <w:p>
            <w:r>
              <w:rPr>
                <w:color w:val="1E232A"/>
                <w:sz w:val="18"/>
              </w:rPr>
              <w:t>Primary account identifier linking loan servicing to risk and queue tables.</w:t>
            </w:r>
          </w:p>
        </w:tc>
      </w:tr>
      <w:tr>
        <w:tc>
          <w:tcPr>
            <w:tcW w:type="dxa" w:w="2592"/>
          </w:tcPr>
          <w:p>
            <w:r>
              <w:rPr>
                <w:color w:val="1E232A"/>
                <w:sz w:val="18"/>
              </w:rPr>
              <w:t>QUEUE_DT</w:t>
            </w:r>
          </w:p>
        </w:tc>
        <w:tc>
          <w:tcPr>
            <w:tcW w:type="dxa" w:w="1152"/>
          </w:tcPr>
          <w:p>
            <w:r>
              <w:rPr>
                <w:color w:val="1E232A"/>
                <w:sz w:val="18"/>
              </w:rPr>
              <w:t>TEXT</w:t>
            </w:r>
          </w:p>
        </w:tc>
        <w:tc>
          <w:tcPr>
            <w:tcW w:type="dxa" w:w="2016"/>
          </w:tcPr>
          <w:p>
            <w:r>
              <w:rPr>
                <w:color w:val="1E232A"/>
                <w:sz w:val="18"/>
              </w:rPr>
              <w:t>2026-05-17</w:t>
            </w:r>
          </w:p>
        </w:tc>
        <w:tc>
          <w:tcPr>
            <w:tcW w:type="dxa" w:w="3600"/>
          </w:tcPr>
          <w:p>
            <w:r>
              <w:rPr>
                <w:color w:val="1E232A"/>
                <w:sz w:val="18"/>
              </w:rPr>
              <w:t>Date account entered historical collections queue.</w:t>
            </w:r>
          </w:p>
        </w:tc>
      </w:tr>
      <w:tr>
        <w:tc>
          <w:tcPr>
            <w:tcW w:type="dxa" w:w="2592"/>
            <w:shd w:fill="F4F6F8"/>
          </w:tcPr>
          <w:p>
            <w:r>
              <w:rPr>
                <w:color w:val="1E232A"/>
                <w:sz w:val="18"/>
              </w:rPr>
              <w:t>CURED_30D_IND</w:t>
            </w:r>
          </w:p>
        </w:tc>
        <w:tc>
          <w:tcPr>
            <w:tcW w:type="dxa" w:w="1152"/>
            <w:shd w:fill="F4F6F8"/>
          </w:tcPr>
          <w:p>
            <w:r>
              <w:rPr>
                <w:color w:val="1E232A"/>
                <w:sz w:val="18"/>
              </w:rPr>
              <w:t>INTEGER</w:t>
            </w:r>
          </w:p>
        </w:tc>
        <w:tc>
          <w:tcPr>
            <w:tcW w:type="dxa" w:w="2016"/>
            <w:shd w:fill="F4F6F8"/>
          </w:tcPr>
          <w:p>
            <w:r>
              <w:rPr>
                <w:color w:val="1E232A"/>
                <w:sz w:val="18"/>
              </w:rPr>
              <w:t>1</w:t>
            </w:r>
          </w:p>
        </w:tc>
        <w:tc>
          <w:tcPr>
            <w:tcW w:type="dxa" w:w="3600"/>
            <w:shd w:fill="F4F6F8"/>
          </w:tcPr>
          <w:p>
            <w:r>
              <w:rPr>
                <w:color w:val="1E232A"/>
                <w:sz w:val="18"/>
              </w:rPr>
              <w:t>Binary outcome: 1 if account brought current within 30 days.</w:t>
            </w:r>
          </w:p>
        </w:tc>
      </w:tr>
      <w:tr>
        <w:tc>
          <w:tcPr>
            <w:tcW w:type="dxa" w:w="2592"/>
          </w:tcPr>
          <w:p>
            <w:r>
              <w:rPr>
                <w:color w:val="1E232A"/>
                <w:sz w:val="18"/>
              </w:rPr>
              <w:t>AMT_PAID_30D</w:t>
            </w:r>
          </w:p>
        </w:tc>
        <w:tc>
          <w:tcPr>
            <w:tcW w:type="dxa" w:w="1152"/>
          </w:tcPr>
          <w:p>
            <w:r>
              <w:rPr>
                <w:color w:val="1E232A"/>
                <w:sz w:val="18"/>
              </w:rPr>
              <w:t>REAL</w:t>
            </w:r>
          </w:p>
        </w:tc>
        <w:tc>
          <w:tcPr>
            <w:tcW w:type="dxa" w:w="2016"/>
          </w:tcPr>
          <w:p>
            <w:r>
              <w:rPr>
                <w:color w:val="1E232A"/>
                <w:sz w:val="18"/>
              </w:rPr>
              <w:t>241.41</w:t>
            </w:r>
          </w:p>
        </w:tc>
        <w:tc>
          <w:tcPr>
            <w:tcW w:type="dxa" w:w="3600"/>
          </w:tcPr>
          <w:p>
            <w:r>
              <w:rPr>
                <w:color w:val="1E232A"/>
                <w:sz w:val="18"/>
              </w:rPr>
              <w:t>Total cash dollars recovered within 30-day window.</w:t>
            </w:r>
          </w:p>
        </w:tc>
      </w:tr>
    </w:tbl>
    <w:p>
      <w:pPr>
        <w:pStyle w:val="Heading2"/>
        <w:spacing w:before="240" w:after="80"/>
      </w:pPr>
      <w:r>
        <w:t>Table: risk_scores (1,514 rows)</w:t>
      </w:r>
    </w:p>
    <w:tbl>
      <w:tblPr>
        <w:tblW w:type="auto" w:w="0"/>
        <w:jc w:val="center"/>
        <w:tblLook w:firstColumn="1" w:firstRow="1" w:lastColumn="0" w:lastRow="0" w:noHBand="0" w:noVBand="1" w:val="04A0"/>
      </w:tblPr>
      <w:tblGrid>
        <w:gridCol w:w="2340"/>
        <w:gridCol w:w="2340"/>
        <w:gridCol w:w="2340"/>
        <w:gridCol w:w="2340"/>
      </w:tblGrid>
      <w:tr>
        <w:tc>
          <w:tcPr>
            <w:tcW w:type="dxa" w:w="2592"/>
            <w:shd w:fill="14505F"/>
          </w:tcPr>
          <w:p>
            <w:pPr>
              <w:jc w:val="left"/>
            </w:pPr>
            <w:r>
              <w:rPr>
                <w:b/>
                <w:color w:val="FFFFFF"/>
                <w:sz w:val="19"/>
              </w:rPr>
              <w:t>Column Name</w:t>
            </w:r>
          </w:p>
        </w:tc>
        <w:tc>
          <w:tcPr>
            <w:tcW w:type="dxa" w:w="1152"/>
            <w:shd w:fill="14505F"/>
          </w:tcPr>
          <w:p>
            <w:pPr>
              <w:jc w:val="left"/>
            </w:pPr>
            <w:r>
              <w:rPr>
                <w:b/>
                <w:color w:val="FFFFFF"/>
                <w:sz w:val="19"/>
              </w:rPr>
              <w:t>SQL Type</w:t>
            </w:r>
          </w:p>
        </w:tc>
        <w:tc>
          <w:tcPr>
            <w:tcW w:type="dxa" w:w="2016"/>
            <w:shd w:fill="14505F"/>
          </w:tcPr>
          <w:p>
            <w:pPr>
              <w:jc w:val="left"/>
            </w:pPr>
            <w:r>
              <w:rPr>
                <w:b/>
                <w:color w:val="FFFFFF"/>
                <w:sz w:val="19"/>
              </w:rPr>
              <w:t>Sample Value</w:t>
            </w:r>
          </w:p>
        </w:tc>
        <w:tc>
          <w:tcPr>
            <w:tcW w:type="dxa" w:w="3600"/>
            <w:shd w:fill="14505F"/>
          </w:tcPr>
          <w:p>
            <w:pPr>
              <w:jc w:val="left"/>
            </w:pPr>
            <w:r>
              <w:rPr>
                <w:b/>
                <w:color w:val="FFFFFF"/>
                <w:sz w:val="19"/>
              </w:rPr>
              <w:t>Key Description &amp; Purpose</w:t>
            </w:r>
          </w:p>
        </w:tc>
      </w:tr>
      <w:tr>
        <w:tc>
          <w:tcPr>
            <w:tcW w:type="dxa" w:w="2592"/>
            <w:shd w:fill="F4F6F8"/>
          </w:tcPr>
          <w:p>
            <w:r>
              <w:rPr>
                <w:color w:val="1E232A"/>
                <w:sz w:val="18"/>
              </w:rPr>
              <w:t>ACCT_NBR</w:t>
            </w:r>
          </w:p>
        </w:tc>
        <w:tc>
          <w:tcPr>
            <w:tcW w:type="dxa" w:w="1152"/>
            <w:shd w:fill="F4F6F8"/>
          </w:tcPr>
          <w:p>
            <w:r>
              <w:rPr>
                <w:color w:val="1E232A"/>
                <w:sz w:val="18"/>
              </w:rPr>
              <w:t>TEXT</w:t>
            </w:r>
          </w:p>
        </w:tc>
        <w:tc>
          <w:tcPr>
            <w:tcW w:type="dxa" w:w="2016"/>
            <w:shd w:fill="F4F6F8"/>
          </w:tcPr>
          <w:p>
            <w:r>
              <w:rPr>
                <w:color w:val="1E232A"/>
                <w:sz w:val="18"/>
              </w:rPr>
              <w:t>7000002</w:t>
            </w:r>
          </w:p>
        </w:tc>
        <w:tc>
          <w:tcPr>
            <w:tcW w:type="dxa" w:w="3600"/>
            <w:shd w:fill="F4F6F8"/>
          </w:tcPr>
          <w:p>
            <w:r>
              <w:rPr>
                <w:color w:val="1E232A"/>
                <w:sz w:val="18"/>
              </w:rPr>
              <w:t>Primary account identifier linking loan servicing to risk and queue tables.</w:t>
            </w:r>
          </w:p>
        </w:tc>
      </w:tr>
      <w:tr>
        <w:tc>
          <w:tcPr>
            <w:tcW w:type="dxa" w:w="2592"/>
          </w:tcPr>
          <w:p>
            <w:r>
              <w:rPr>
                <w:color w:val="1E232A"/>
                <w:sz w:val="18"/>
              </w:rPr>
              <w:t>RISK_GRADE</w:t>
            </w:r>
          </w:p>
        </w:tc>
        <w:tc>
          <w:tcPr>
            <w:tcW w:type="dxa" w:w="1152"/>
          </w:tcPr>
          <w:p>
            <w:r>
              <w:rPr>
                <w:color w:val="1E232A"/>
                <w:sz w:val="18"/>
              </w:rPr>
              <w:t>TEXT</w:t>
            </w:r>
          </w:p>
        </w:tc>
        <w:tc>
          <w:tcPr>
            <w:tcW w:type="dxa" w:w="2016"/>
          </w:tcPr>
          <w:p>
            <w:r>
              <w:rPr>
                <w:color w:val="1E232A"/>
                <w:sz w:val="18"/>
              </w:rPr>
              <w:t>C</w:t>
            </w:r>
          </w:p>
        </w:tc>
        <w:tc>
          <w:tcPr>
            <w:tcW w:type="dxa" w:w="3600"/>
          </w:tcPr>
          <w:p>
            <w:r>
              <w:rPr>
                <w:color w:val="1E232A"/>
                <w:sz w:val="18"/>
              </w:rPr>
              <w:t>Credit risk grade (A, B, C, D, E) from nightly predictive model.</w:t>
            </w:r>
          </w:p>
        </w:tc>
      </w:tr>
      <w:tr>
        <w:tc>
          <w:tcPr>
            <w:tcW w:type="dxa" w:w="2592"/>
            <w:shd w:fill="F4F6F8"/>
          </w:tcPr>
          <w:p>
            <w:r>
              <w:rPr>
                <w:color w:val="1E232A"/>
                <w:sz w:val="18"/>
              </w:rPr>
              <w:t>SCORE_DT</w:t>
            </w:r>
          </w:p>
        </w:tc>
        <w:tc>
          <w:tcPr>
            <w:tcW w:type="dxa" w:w="1152"/>
            <w:shd w:fill="F4F6F8"/>
          </w:tcPr>
          <w:p>
            <w:r>
              <w:rPr>
                <w:color w:val="1E232A"/>
                <w:sz w:val="18"/>
              </w:rPr>
              <w:t>TEXT</w:t>
            </w:r>
          </w:p>
        </w:tc>
        <w:tc>
          <w:tcPr>
            <w:tcW w:type="dxa" w:w="2016"/>
            <w:shd w:fill="F4F6F8"/>
          </w:tcPr>
          <w:p>
            <w:r>
              <w:rPr>
                <w:color w:val="1E232A"/>
                <w:sz w:val="18"/>
              </w:rPr>
              <w:t>2026-09-13</w:t>
            </w:r>
          </w:p>
        </w:tc>
        <w:tc>
          <w:tcPr>
            <w:tcW w:type="dxa" w:w="3600"/>
            <w:shd w:fill="F4F6F8"/>
          </w:tcPr>
          <w:p>
            <w:r>
              <w:rPr>
                <w:color w:val="1E232A"/>
                <w:sz w:val="18"/>
              </w:rPr>
              <w:t>Date risk grade was computed.</w:t>
            </w:r>
          </w:p>
        </w:tc>
      </w:tr>
      <w:tr>
        <w:tc>
          <w:tcPr>
            <w:tcW w:type="dxa" w:w="2592"/>
          </w:tcPr>
          <w:p>
            <w:r>
              <w:rPr>
                <w:color w:val="1E232A"/>
                <w:sz w:val="18"/>
              </w:rPr>
              <w:t>MDL_VER</w:t>
            </w:r>
          </w:p>
        </w:tc>
        <w:tc>
          <w:tcPr>
            <w:tcW w:type="dxa" w:w="1152"/>
          </w:tcPr>
          <w:p>
            <w:r>
              <w:rPr>
                <w:color w:val="1E232A"/>
                <w:sz w:val="18"/>
              </w:rPr>
              <w:t>TEXT</w:t>
            </w:r>
          </w:p>
        </w:tc>
        <w:tc>
          <w:tcPr>
            <w:tcW w:type="dxa" w:w="2016"/>
          </w:tcPr>
          <w:p>
            <w:r>
              <w:rPr>
                <w:color w:val="1E232A"/>
                <w:sz w:val="18"/>
              </w:rPr>
              <w:t>cu-delinq-v4.2</w:t>
            </w:r>
          </w:p>
        </w:tc>
        <w:tc>
          <w:tcPr>
            <w:tcW w:type="dxa" w:w="3600"/>
          </w:tcPr>
          <w:p>
            <w:r>
              <w:rPr>
                <w:color w:val="1E232A"/>
                <w:sz w:val="18"/>
              </w:rPr>
              <w:t>Model version identifier.</w:t>
            </w:r>
          </w:p>
        </w:tc>
      </w:tr>
      <w:tr>
        <w:tc>
          <w:tcPr>
            <w:tcW w:type="dxa" w:w="2592"/>
            <w:shd w:fill="F4F6F8"/>
          </w:tcPr>
          <w:p>
            <w:r>
              <w:rPr>
                <w:color w:val="1E232A"/>
                <w:sz w:val="18"/>
              </w:rPr>
              <w:t>PD_HORIZON_DAYS</w:t>
            </w:r>
          </w:p>
        </w:tc>
        <w:tc>
          <w:tcPr>
            <w:tcW w:type="dxa" w:w="1152"/>
            <w:shd w:fill="F4F6F8"/>
          </w:tcPr>
          <w:p>
            <w:r>
              <w:rPr>
                <w:color w:val="1E232A"/>
                <w:sz w:val="18"/>
              </w:rPr>
              <w:t>INTEGER</w:t>
            </w:r>
          </w:p>
        </w:tc>
        <w:tc>
          <w:tcPr>
            <w:tcW w:type="dxa" w:w="2016"/>
            <w:shd w:fill="F4F6F8"/>
          </w:tcPr>
          <w:p>
            <w:r>
              <w:rPr>
                <w:color w:val="1E232A"/>
                <w:sz w:val="18"/>
              </w:rPr>
              <w:t>365</w:t>
            </w:r>
          </w:p>
        </w:tc>
        <w:tc>
          <w:tcPr>
            <w:tcW w:type="dxa" w:w="3600"/>
            <w:shd w:fill="F4F6F8"/>
          </w:tcPr>
          <w:p>
            <w:r>
              <w:rPr>
                <w:color w:val="1E232A"/>
                <w:sz w:val="18"/>
              </w:rPr>
              <w:t>Underlying risk model horizon (365 days).</w:t>
            </w:r>
          </w:p>
        </w:tc>
      </w:tr>
    </w:tbl>
    <w:p>
      <w:pPr>
        <w:pStyle w:val="Heading1"/>
        <w:spacing w:before="360" w:after="120"/>
      </w:pPr>
      <w:r>
        <w:t>5. L2 Layer — Eligibility Resolver Alignment &amp; Data Elements</w:t>
      </w:r>
    </w:p>
    <w:p>
      <w:r>
        <w:t>Comparison between the L2 Eligibility Resolver specification and the Last Mile architecture shows strong structural alignment across risk metrics, causal uplift segments, and policy checks.</w:t>
      </w:r>
    </w:p>
    <w:tbl>
      <w:tblPr>
        <w:tblW w:type="auto" w:w="0"/>
        <w:jc w:val="center"/>
        <w:tblLook w:firstColumn="1" w:firstRow="1" w:lastColumn="0" w:lastRow="0" w:noHBand="0" w:noVBand="1" w:val="04A0"/>
      </w:tblPr>
      <w:tblGrid>
        <w:gridCol w:w="3120"/>
        <w:gridCol w:w="3120"/>
        <w:gridCol w:w="3120"/>
      </w:tblGrid>
      <w:tr>
        <w:tc>
          <w:tcPr>
            <w:tcW w:type="dxa" w:w="2592"/>
            <w:shd w:fill="14505F"/>
          </w:tcPr>
          <w:p>
            <w:pPr>
              <w:jc w:val="left"/>
            </w:pPr>
            <w:r>
              <w:rPr>
                <w:b/>
                <w:color w:val="FFFFFF"/>
                <w:sz w:val="19"/>
              </w:rPr>
              <w:t>Spec Data Category</w:t>
            </w:r>
          </w:p>
        </w:tc>
        <w:tc>
          <w:tcPr>
            <w:tcW w:type="dxa" w:w="4608"/>
            <w:shd w:fill="14505F"/>
          </w:tcPr>
          <w:p>
            <w:pPr>
              <w:jc w:val="left"/>
            </w:pPr>
            <w:r>
              <w:rPr>
                <w:b/>
                <w:color w:val="FFFFFF"/>
                <w:sz w:val="19"/>
              </w:rPr>
              <w:t>Current App Implementation</w:t>
            </w:r>
          </w:p>
        </w:tc>
        <w:tc>
          <w:tcPr>
            <w:tcW w:type="dxa" w:w="2160"/>
            <w:shd w:fill="14505F"/>
          </w:tcPr>
          <w:p>
            <w:pPr>
              <w:jc w:val="left"/>
            </w:pPr>
            <w:r>
              <w:rPr>
                <w:b/>
                <w:color w:val="FFFFFF"/>
                <w:sz w:val="19"/>
              </w:rPr>
              <w:t>Alignment Status</w:t>
            </w:r>
          </w:p>
        </w:tc>
      </w:tr>
      <w:tr>
        <w:tc>
          <w:tcPr>
            <w:tcW w:type="dxa" w:w="2592"/>
            <w:shd w:fill="F4F6F8"/>
          </w:tcPr>
          <w:p>
            <w:r>
              <w:rPr>
                <w:color w:val="1E232A"/>
                <w:sz w:val="18"/>
              </w:rPr>
              <w:t>Core Identifiers &amp; Accounts</w:t>
            </w:r>
          </w:p>
        </w:tc>
        <w:tc>
          <w:tcPr>
            <w:tcW w:type="dxa" w:w="4608"/>
            <w:shd w:fill="F4F6F8"/>
          </w:tcPr>
          <w:p>
            <w:r>
              <w:rPr>
                <w:color w:val="1E232A"/>
                <w:sz w:val="18"/>
              </w:rPr>
              <w:t>ACCT_NBR → account_token, CIF_KEY → member_token, CURR_BAL, DPD_CNT, PROD_CD, ORIG_AMT, TENURE_MOS.</w:t>
            </w:r>
          </w:p>
        </w:tc>
        <w:tc>
          <w:tcPr>
            <w:tcW w:type="dxa" w:w="2160"/>
            <w:shd w:fill="F4F6F8"/>
          </w:tcPr>
          <w:p>
            <w:r>
              <w:rPr>
                <w:color w:val="1E232A"/>
                <w:sz w:val="18"/>
              </w:rPr>
              <w:t>100% Aligned (HMAC Tokenized)</w:t>
            </w:r>
          </w:p>
        </w:tc>
      </w:tr>
      <w:tr>
        <w:tc>
          <w:tcPr>
            <w:tcW w:type="dxa" w:w="2592"/>
          </w:tcPr>
          <w:p>
            <w:r>
              <w:rPr>
                <w:color w:val="1E232A"/>
                <w:sz w:val="18"/>
              </w:rPr>
              <w:t>Risk &amp; Causal Metrics</w:t>
            </w:r>
          </w:p>
        </w:tc>
        <w:tc>
          <w:tcPr>
            <w:tcW w:type="dxa" w:w="4608"/>
          </w:tcPr>
          <w:p>
            <w:r>
              <w:rPr>
                <w:color w:val="1E232A"/>
                <w:sz w:val="18"/>
              </w:rPr>
              <w:t>pd_12m, exposure (EAD), lgd, expected_loss, customer_segment (Persuadable, etc.), uplift, 90% CI bounds.</w:t>
            </w:r>
          </w:p>
        </w:tc>
        <w:tc>
          <w:tcPr>
            <w:tcW w:type="dxa" w:w="2160"/>
          </w:tcPr>
          <w:p>
            <w:r>
              <w:rPr>
                <w:color w:val="1E232A"/>
                <w:sz w:val="18"/>
              </w:rPr>
              <w:t>100% Exact Match</w:t>
            </w:r>
          </w:p>
        </w:tc>
      </w:tr>
      <w:tr>
        <w:tc>
          <w:tcPr>
            <w:tcW w:type="dxa" w:w="2592"/>
            <w:shd w:fill="F4F6F8"/>
          </w:tcPr>
          <w:p>
            <w:r>
              <w:rPr>
                <w:color w:val="1E232A"/>
                <w:sz w:val="18"/>
              </w:rPr>
              <w:t>Contact &amp; Collections History</w:t>
            </w:r>
          </w:p>
        </w:tc>
        <w:tc>
          <w:tcPr>
            <w:tcW w:type="dxa" w:w="4608"/>
            <w:shd w:fill="F4F6F8"/>
          </w:tcPr>
          <w:p>
            <w:r>
              <w:rPr>
                <w:color w:val="1E232A"/>
                <w:sz w:val="18"/>
              </w:rPr>
              <w:t>contacts_7d, contacts_30d, last_rpc_date, ptp_kept_rate_12m, pmts_missed_12m, days_since_last_contact.</w:t>
            </w:r>
          </w:p>
        </w:tc>
        <w:tc>
          <w:tcPr>
            <w:tcW w:type="dxa" w:w="2160"/>
            <w:shd w:fill="F4F6F8"/>
          </w:tcPr>
          <w:p>
            <w:r>
              <w:rPr>
                <w:color w:val="1E232A"/>
                <w:sz w:val="18"/>
              </w:rPr>
              <w:t>90% Aligned</w:t>
            </w:r>
          </w:p>
        </w:tc>
      </w:tr>
      <w:tr>
        <w:tc>
          <w:tcPr>
            <w:tcW w:type="dxa" w:w="2592"/>
          </w:tcPr>
          <w:p>
            <w:r>
              <w:rPr>
                <w:color w:val="1E232A"/>
                <w:sz w:val="18"/>
              </w:rPr>
              <w:t>Policy Checks &amp; Resolver Meta</w:t>
            </w:r>
          </w:p>
        </w:tc>
        <w:tc>
          <w:tcPr>
            <w:tcW w:type="dxa" w:w="4608"/>
          </w:tcPr>
          <w:p>
            <w:r>
              <w:rPr>
                <w:color w:val="1E232A"/>
                <w:sz w:val="18"/>
              </w:rPr>
              <w:t>cooling_off_period_check (7-day cap), contact_frequency_check, hardship_limit_check, suppression rules.</w:t>
            </w:r>
          </w:p>
        </w:tc>
        <w:tc>
          <w:tcPr>
            <w:tcW w:type="dxa" w:w="2160"/>
          </w:tcPr>
          <w:p>
            <w:r>
              <w:rPr>
                <w:color w:val="1E232A"/>
                <w:sz w:val="18"/>
              </w:rPr>
              <w:t>100% Exact Match</w:t>
            </w:r>
          </w:p>
        </w:tc>
      </w:tr>
      <w:tr>
        <w:tc>
          <w:tcPr>
            <w:tcW w:type="dxa" w:w="2592"/>
            <w:shd w:fill="F4F6F8"/>
          </w:tcPr>
          <w:p>
            <w:r>
              <w:rPr>
                <w:color w:val="1E232A"/>
                <w:sz w:val="18"/>
              </w:rPr>
              <w:t>Hardship Affordability (Income/Expenses)</w:t>
            </w:r>
          </w:p>
        </w:tc>
        <w:tc>
          <w:tcPr>
            <w:tcW w:type="dxa" w:w="4608"/>
            <w:shd w:fill="F4F6F8"/>
          </w:tcPr>
          <w:p>
            <w:r>
              <w:rPr>
                <w:color w:val="1E232A"/>
                <w:sz w:val="18"/>
              </w:rPr>
              <w:t>App uses objective delinquency and history metrics; does not model self-reported monthly_net_income or essential_expenses.</w:t>
            </w:r>
          </w:p>
        </w:tc>
        <w:tc>
          <w:tcPr>
            <w:tcW w:type="dxa" w:w="2160"/>
            <w:shd w:fill="F4F6F8"/>
          </w:tcPr>
          <w:p>
            <w:r>
              <w:rPr>
                <w:color w:val="1E232A"/>
                <w:sz w:val="18"/>
              </w:rPr>
              <w:t>Spec Extension</w:t>
            </w:r>
          </w:p>
        </w:tc>
      </w:tr>
      <w:tr>
        <w:tc>
          <w:tcPr>
            <w:tcW w:type="dxa" w:w="2592"/>
          </w:tcPr>
          <w:p>
            <w:r>
              <w:rPr>
                <w:color w:val="1E232A"/>
                <w:sz w:val="18"/>
              </w:rPr>
              <w:t>Program Underwriting Terms</w:t>
            </w:r>
          </w:p>
        </w:tc>
        <w:tc>
          <w:tcPr>
            <w:tcW w:type="dxa" w:w="4608"/>
          </w:tcPr>
          <w:p>
            <w:r>
              <w:rPr>
                <w:color w:val="1E232A"/>
                <w:sz w:val="18"/>
              </w:rPr>
              <w:t>App models operational collections treatments (SMS, CALL, PLAN, HARDSHIP); does not model granular loan restructure APR concessions.</w:t>
            </w:r>
          </w:p>
        </w:tc>
        <w:tc>
          <w:tcPr>
            <w:tcW w:type="dxa" w:w="2160"/>
          </w:tcPr>
          <w:p>
            <w:r>
              <w:rPr>
                <w:color w:val="1E232A"/>
                <w:sz w:val="18"/>
              </w:rPr>
              <w:t>Spec Extension</w:t>
            </w:r>
          </w:p>
        </w:tc>
      </w:tr>
    </w:tbl>
    <w:p>
      <w:pPr>
        <w:pStyle w:val="Heading1"/>
        <w:spacing w:before="360" w:after="120"/>
      </w:pPr>
      <w:r>
        <w:t>6. Sealed-Truth Benchmark Proof &amp; Evaluation Metrics</w:t>
      </w:r>
    </w:p>
    <w:p>
      <w:r>
        <w:t>Scoring the optimized plan against the synthetic credit union's sealed ground truth demonstrates decisive quantitative superiority over traditional risk-based ranking:</w:t>
      </w:r>
    </w:p>
    <w:tbl>
      <w:tblPr>
        <w:tblW w:type="auto" w:w="0"/>
        <w:jc w:val="center"/>
        <w:tblLook w:firstColumn="1" w:firstRow="1" w:lastColumn="0" w:lastRow="0" w:noHBand="0" w:noVBand="1" w:val="04A0"/>
      </w:tblPr>
      <w:tblGrid>
        <w:gridCol w:w="2340"/>
        <w:gridCol w:w="2340"/>
        <w:gridCol w:w="2340"/>
        <w:gridCol w:w="2340"/>
      </w:tblGrid>
      <w:tr>
        <w:tc>
          <w:tcPr>
            <w:tcW w:type="dxa" w:w="3600"/>
            <w:shd w:fill="14505F"/>
          </w:tcPr>
          <w:p>
            <w:pPr>
              <w:jc w:val="left"/>
            </w:pPr>
            <w:r>
              <w:rPr>
                <w:b/>
                <w:color w:val="FFFFFF"/>
                <w:sz w:val="19"/>
              </w:rPr>
              <w:t>Targeting Strategy</w:t>
            </w:r>
          </w:p>
        </w:tc>
        <w:tc>
          <w:tcPr>
            <w:tcW w:type="dxa" w:w="1440"/>
            <w:shd w:fill="14505F"/>
          </w:tcPr>
          <w:p>
            <w:pPr>
              <w:jc w:val="left"/>
            </w:pPr>
            <w:r>
              <w:rPr>
                <w:b/>
                <w:color w:val="FFFFFF"/>
                <w:sz w:val="19"/>
              </w:rPr>
              <w:t>Selected Accounts</w:t>
            </w:r>
          </w:p>
        </w:tc>
        <w:tc>
          <w:tcPr>
            <w:tcW w:type="dxa" w:w="2160"/>
            <w:shd w:fill="14505F"/>
          </w:tcPr>
          <w:p>
            <w:pPr>
              <w:jc w:val="left"/>
            </w:pPr>
            <w:r>
              <w:rPr>
                <w:b/>
                <w:color w:val="FFFFFF"/>
                <w:sz w:val="19"/>
              </w:rPr>
              <w:t>True Avoided Loss ($)</w:t>
            </w:r>
          </w:p>
        </w:tc>
        <w:tc>
          <w:tcPr>
            <w:tcW w:type="dxa" w:w="2160"/>
            <w:shd w:fill="14505F"/>
          </w:tcPr>
          <w:p>
            <w:pPr>
              <w:jc w:val="left"/>
            </w:pPr>
            <w:r>
              <w:rPr>
                <w:b/>
                <w:color w:val="FFFFFF"/>
                <w:sz w:val="19"/>
              </w:rPr>
              <w:t>Harmful Actions (Sleeping Dogs)</w:t>
            </w:r>
          </w:p>
        </w:tc>
      </w:tr>
      <w:tr>
        <w:tc>
          <w:tcPr>
            <w:tcW w:type="dxa" w:w="3600"/>
            <w:shd w:fill="F4F6F8"/>
          </w:tcPr>
          <w:p>
            <w:r>
              <w:rPr>
                <w:color w:val="1E232A"/>
                <w:sz w:val="18"/>
              </w:rPr>
              <w:t>Sort by Risk Grade (Standard Industry Practice)</w:t>
            </w:r>
          </w:p>
        </w:tc>
        <w:tc>
          <w:tcPr>
            <w:tcW w:type="dxa" w:w="1440"/>
            <w:shd w:fill="F4F6F8"/>
          </w:tcPr>
          <w:p>
            <w:r>
              <w:rPr>
                <w:color w:val="1E232A"/>
                <w:sz w:val="18"/>
              </w:rPr>
              <w:t>471</w:t>
            </w:r>
          </w:p>
        </w:tc>
        <w:tc>
          <w:tcPr>
            <w:tcW w:type="dxa" w:w="2160"/>
            <w:shd w:fill="F4F6F8"/>
          </w:tcPr>
          <w:p>
            <w:r>
              <w:rPr>
                <w:color w:val="1E232A"/>
                <w:sz w:val="18"/>
              </w:rPr>
              <w:t>,694</w:t>
            </w:r>
          </w:p>
        </w:tc>
        <w:tc>
          <w:tcPr>
            <w:tcW w:type="dxa" w:w="2160"/>
            <w:shd w:fill="F4F6F8"/>
          </w:tcPr>
          <w:p>
            <w:r>
              <w:rPr>
                <w:color w:val="1E232A"/>
                <w:sz w:val="18"/>
              </w:rPr>
              <w:t>82 harmful actions</w:t>
            </w:r>
          </w:p>
        </w:tc>
      </w:tr>
      <w:tr>
        <w:tc>
          <w:tcPr>
            <w:tcW w:type="dxa" w:w="3600"/>
          </w:tcPr>
          <w:p>
            <w:r>
              <w:rPr>
                <w:color w:val="1E232A"/>
                <w:sz w:val="18"/>
              </w:rPr>
              <w:t>Sort by Expected Loss (Exposure-Weighted)</w:t>
            </w:r>
          </w:p>
        </w:tc>
        <w:tc>
          <w:tcPr>
            <w:tcW w:type="dxa" w:w="1440"/>
          </w:tcPr>
          <w:p>
            <w:r>
              <w:rPr>
                <w:color w:val="1E232A"/>
                <w:sz w:val="18"/>
              </w:rPr>
              <w:t>470</w:t>
            </w:r>
          </w:p>
        </w:tc>
        <w:tc>
          <w:tcPr>
            <w:tcW w:type="dxa" w:w="2160"/>
          </w:tcPr>
          <w:p>
            <w:r>
              <w:rPr>
                <w:color w:val="1E232A"/>
                <w:sz w:val="18"/>
              </w:rPr>
              <w:t>,501</w:t>
            </w:r>
          </w:p>
        </w:tc>
        <w:tc>
          <w:tcPr>
            <w:tcW w:type="dxa" w:w="2160"/>
          </w:tcPr>
          <w:p>
            <w:r>
              <w:rPr>
                <w:color w:val="1E232A"/>
                <w:sz w:val="18"/>
              </w:rPr>
              <w:t>76 harmful actions</w:t>
            </w:r>
          </w:p>
        </w:tc>
      </w:tr>
      <w:tr>
        <w:tc>
          <w:tcPr>
            <w:tcW w:type="dxa" w:w="3600"/>
            <w:shd w:fill="F4F6F8"/>
          </w:tcPr>
          <w:p>
            <w:r>
              <w:rPr>
                <w:color w:val="1E232A"/>
                <w:sz w:val="18"/>
              </w:rPr>
              <w:t>OPTIMIZED (Causal Uplift + CBC Solver)</w:t>
            </w:r>
          </w:p>
        </w:tc>
        <w:tc>
          <w:tcPr>
            <w:tcW w:type="dxa" w:w="1440"/>
            <w:shd w:fill="F4F6F8"/>
          </w:tcPr>
          <w:p>
            <w:r>
              <w:rPr>
                <w:color w:val="1E232A"/>
                <w:sz w:val="18"/>
              </w:rPr>
              <w:t>497</w:t>
            </w:r>
          </w:p>
        </w:tc>
        <w:tc>
          <w:tcPr>
            <w:tcW w:type="dxa" w:w="2160"/>
            <w:shd w:fill="F4F6F8"/>
          </w:tcPr>
          <w:p>
            <w:r>
              <w:rPr>
                <w:color w:val="1E232A"/>
                <w:sz w:val="18"/>
              </w:rPr>
              <w:t>,916 (+26.5% vs Risk)</w:t>
            </w:r>
          </w:p>
        </w:tc>
        <w:tc>
          <w:tcPr>
            <w:tcW w:type="dxa" w:w="2160"/>
            <w:shd w:fill="F4F6F8"/>
          </w:tcPr>
          <w:p>
            <w:r>
              <w:rPr>
                <w:color w:val="1E232A"/>
                <w:sz w:val="18"/>
              </w:rPr>
              <w:t>63 harmful actions (19 FEWER HARMS)</w:t>
            </w:r>
          </w:p>
        </w:tc>
      </w:tr>
      <w:tr>
        <w:tc>
          <w:tcPr>
            <w:tcW w:type="dxa" w:w="3600"/>
          </w:tcPr>
          <w:p>
            <w:r>
              <w:rPr>
                <w:color w:val="1E232A"/>
                <w:sz w:val="18"/>
              </w:rPr>
              <w:t>Oracle (Theoretical Upper Bound)</w:t>
            </w:r>
          </w:p>
        </w:tc>
        <w:tc>
          <w:tcPr>
            <w:tcW w:type="dxa" w:w="1440"/>
          </w:tcPr>
          <w:p>
            <w:r>
              <w:rPr>
                <w:color w:val="1E232A"/>
                <w:sz w:val="18"/>
              </w:rPr>
              <w:t>500</w:t>
            </w:r>
          </w:p>
        </w:tc>
        <w:tc>
          <w:tcPr>
            <w:tcW w:type="dxa" w:w="2160"/>
          </w:tcPr>
          <w:p>
            <w:r>
              <w:rPr>
                <w:color w:val="1E232A"/>
                <w:sz w:val="18"/>
              </w:rPr>
              <w:t>,548</w:t>
            </w:r>
          </w:p>
        </w:tc>
        <w:tc>
          <w:tcPr>
            <w:tcW w:type="dxa" w:w="2160"/>
          </w:tcPr>
          <w:p>
            <w:r>
              <w:rPr>
                <w:color w:val="1E232A"/>
                <w:sz w:val="18"/>
              </w:rPr>
              <w:t>0 harmful actions</w:t>
            </w:r>
          </w:p>
        </w:tc>
      </w:tr>
    </w:tbl>
    <w:p>
      <w:pPr>
        <w:pStyle w:val="Heading1"/>
        <w:spacing w:before="360" w:after="120"/>
      </w:pPr>
      <w:r>
        <w:t>7. Presentation Pitch Narrative: The 10-Scene Storyboard</w:t>
      </w:r>
    </w:p>
    <w:p>
      <w:r>
        <w:t>Structure for Demo Day presentation answering the core audience questions:</w:t>
      </w:r>
    </w:p>
    <w:tbl>
      <w:tblPr>
        <w:tblW w:type="auto" w:w="0"/>
        <w:jc w:val="center"/>
        <w:tblLook w:firstColumn="1" w:firstRow="1" w:lastColumn="0" w:lastRow="0" w:noHBand="0" w:noVBand="1" w:val="04A0"/>
      </w:tblPr>
      <w:tblGrid>
        <w:gridCol w:w="3120"/>
        <w:gridCol w:w="3120"/>
        <w:gridCol w:w="3120"/>
      </w:tblGrid>
      <w:tr>
        <w:tc>
          <w:tcPr>
            <w:tcW w:type="dxa" w:w="2160"/>
            <w:shd w:fill="14505F"/>
          </w:tcPr>
          <w:p>
            <w:pPr>
              <w:jc w:val="left"/>
            </w:pPr>
            <w:r>
              <w:rPr>
                <w:b/>
                <w:color w:val="FFFFFF"/>
                <w:sz w:val="19"/>
              </w:rPr>
              <w:t>Scene #</w:t>
            </w:r>
          </w:p>
        </w:tc>
        <w:tc>
          <w:tcPr>
            <w:tcW w:type="dxa" w:w="3312"/>
            <w:shd w:fill="14505F"/>
          </w:tcPr>
          <w:p>
            <w:pPr>
              <w:jc w:val="left"/>
            </w:pPr>
            <w:r>
              <w:rPr>
                <w:b/>
                <w:color w:val="FFFFFF"/>
                <w:sz w:val="19"/>
              </w:rPr>
              <w:t>Slide Title</w:t>
            </w:r>
          </w:p>
        </w:tc>
        <w:tc>
          <w:tcPr>
            <w:tcW w:type="dxa" w:w="3888"/>
            <w:shd w:fill="14505F"/>
          </w:tcPr>
          <w:p>
            <w:pPr>
              <w:jc w:val="left"/>
            </w:pPr>
            <w:r>
              <w:rPr>
                <w:b/>
                <w:color w:val="FFFFFF"/>
                <w:sz w:val="19"/>
              </w:rPr>
              <w:t>Core Takeaway &amp; Cinematic Reveal</w:t>
            </w:r>
          </w:p>
        </w:tc>
      </w:tr>
      <w:tr>
        <w:tc>
          <w:tcPr>
            <w:tcW w:type="dxa" w:w="2160"/>
            <w:shd w:fill="F4F6F8"/>
          </w:tcPr>
          <w:p>
            <w:r>
              <w:rPr>
                <w:color w:val="1E232A"/>
                <w:sz w:val="18"/>
              </w:rPr>
              <w:t>Scene 1 · The Crime Scene</w:t>
            </w:r>
          </w:p>
        </w:tc>
        <w:tc>
          <w:tcPr>
            <w:tcW w:type="dxa" w:w="3312"/>
            <w:shd w:fill="F4F6F8"/>
          </w:tcPr>
          <w:p>
            <w:r>
              <w:rPr>
                <w:color w:val="1E232A"/>
                <w:sz w:val="18"/>
              </w:rPr>
              <w:t>"The Million-Dollar Prediction That Lost Money"</w:t>
            </w:r>
          </w:p>
        </w:tc>
        <w:tc>
          <w:tcPr>
            <w:tcW w:type="dxa" w:w="3888"/>
            <w:shd w:fill="F4F6F8"/>
          </w:tcPr>
          <w:p>
            <w:r>
              <w:rPr>
                <w:color w:val="1E232A"/>
                <w:sz w:val="18"/>
              </w:rPr>
              <w:t>Hook: 94% accurate risk model leading to 78% default due to blind risk sorting.</w:t>
            </w:r>
          </w:p>
        </w:tc>
      </w:tr>
      <w:tr>
        <w:tc>
          <w:tcPr>
            <w:tcW w:type="dxa" w:w="2160"/>
          </w:tcPr>
          <w:p>
            <w:r>
              <w:rPr>
                <w:color w:val="1E232A"/>
                <w:sz w:val="18"/>
              </w:rPr>
              <w:t>Scene 2 · The Investigation</w:t>
            </w:r>
          </w:p>
        </w:tc>
        <w:tc>
          <w:tcPr>
            <w:tcW w:type="dxa" w:w="3312"/>
          </w:tcPr>
          <w:p>
            <w:r>
              <w:rPr>
                <w:color w:val="1E232A"/>
                <w:sz w:val="18"/>
              </w:rPr>
              <w:t>"The 4 Types of Borrowers Hiding in the Same Risk Grade"</w:t>
            </w:r>
          </w:p>
        </w:tc>
        <w:tc>
          <w:tcPr>
            <w:tcW w:type="dxa" w:w="3888"/>
          </w:tcPr>
          <w:p>
            <w:r>
              <w:rPr>
                <w:color w:val="1E232A"/>
                <w:sz w:val="18"/>
              </w:rPr>
              <w:t>Reveal the 4 quadrants: Persuadables, Sure Things, Lost Causes, Sleeping Dogs.</w:t>
            </w:r>
          </w:p>
        </w:tc>
      </w:tr>
      <w:tr>
        <w:tc>
          <w:tcPr>
            <w:tcW w:type="dxa" w:w="2160"/>
            <w:shd w:fill="F4F6F8"/>
          </w:tcPr>
          <w:p>
            <w:r>
              <w:rPr>
                <w:color w:val="1E232A"/>
                <w:sz w:val="18"/>
              </w:rPr>
              <w:t>Scene 3 · The Turning Point</w:t>
            </w:r>
          </w:p>
        </w:tc>
        <w:tc>
          <w:tcPr>
            <w:tcW w:type="dxa" w:w="3312"/>
            <w:shd w:fill="F4F6F8"/>
          </w:tcPr>
          <w:p>
            <w:r>
              <w:rPr>
                <w:color w:val="1E232A"/>
                <w:sz w:val="18"/>
              </w:rPr>
              <w:t>"Who Can We Change? (Causal Uplift)"</w:t>
            </w:r>
          </w:p>
        </w:tc>
        <w:tc>
          <w:tcPr>
            <w:tcW w:type="dxa" w:w="3888"/>
            <w:shd w:fill="F4F6F8"/>
          </w:tcPr>
          <w:p>
            <w:r>
              <w:rPr>
                <w:color w:val="1E232A"/>
                <w:sz w:val="18"/>
              </w:rPr>
              <w:t>Paradigm shift: Valuing actions in expected cure delta net of contact cost.</w:t>
            </w:r>
          </w:p>
        </w:tc>
      </w:tr>
      <w:tr>
        <w:tc>
          <w:tcPr>
            <w:tcW w:type="dxa" w:w="2160"/>
          </w:tcPr>
          <w:p>
            <w:r>
              <w:rPr>
                <w:color w:val="1E232A"/>
                <w:sz w:val="18"/>
              </w:rPr>
              <w:t>Scene 4 · The Knapsack Problem</w:t>
            </w:r>
          </w:p>
        </w:tc>
        <w:tc>
          <w:tcPr>
            <w:tcW w:type="dxa" w:w="3312"/>
          </w:tcPr>
          <w:p>
            <w:r>
              <w:rPr>
                <w:color w:val="1E232A"/>
                <w:sz w:val="18"/>
              </w:rPr>
              <w:t>"You Have 3,600 Minutes and 5,000 Accounts"</w:t>
            </w:r>
          </w:p>
        </w:tc>
        <w:tc>
          <w:tcPr>
            <w:tcW w:type="dxa" w:w="3888"/>
          </w:tcPr>
          <w:p>
            <w:r>
              <w:rPr>
                <w:color w:val="1E232A"/>
                <w:sz w:val="18"/>
              </w:rPr>
              <w:t>Demonstrate why greedy balance sorting fails under binding staff minute budgets.</w:t>
            </w:r>
          </w:p>
        </w:tc>
      </w:tr>
      <w:tr>
        <w:tc>
          <w:tcPr>
            <w:tcW w:type="dxa" w:w="2160"/>
            <w:shd w:fill="F4F6F8"/>
          </w:tcPr>
          <w:p>
            <w:r>
              <w:rPr>
                <w:color w:val="1E232A"/>
                <w:sz w:val="18"/>
              </w:rPr>
              <w:t>Scene 5 · The Architectural Bet</w:t>
            </w:r>
          </w:p>
        </w:tc>
        <w:tc>
          <w:tcPr>
            <w:tcW w:type="dxa" w:w="3312"/>
            <w:shd w:fill="F4F6F8"/>
          </w:tcPr>
          <w:p>
            <w:r>
              <w:rPr>
                <w:color w:val="1E232A"/>
                <w:sz w:val="18"/>
              </w:rPr>
              <w:t>"AI Explains. Solvers Do the Math."</w:t>
            </w:r>
          </w:p>
        </w:tc>
        <w:tc>
          <w:tcPr>
            <w:tcW w:type="dxa" w:w="3888"/>
            <w:shd w:fill="F4F6F8"/>
          </w:tcPr>
          <w:p>
            <w:r>
              <w:rPr>
                <w:color w:val="1E232A"/>
                <w:sz w:val="18"/>
              </w:rPr>
              <w:t>Strict boundary: Zero unstamped numbers by LLM; CBC MIP solver and SimPy do math.</w:t>
            </w:r>
          </w:p>
        </w:tc>
      </w:tr>
      <w:tr>
        <w:tc>
          <w:tcPr>
            <w:tcW w:type="dxa" w:w="2160"/>
          </w:tcPr>
          <w:p>
            <w:r>
              <w:rPr>
                <w:color w:val="1E232A"/>
                <w:sz w:val="18"/>
              </w:rPr>
              <w:t>Scene 6 · The Assembly Line</w:t>
            </w:r>
          </w:p>
        </w:tc>
        <w:tc>
          <w:tcPr>
            <w:tcW w:type="dxa" w:w="3312"/>
          </w:tcPr>
          <w:p>
            <w:r>
              <w:rPr>
                <w:color w:val="1E232A"/>
                <w:sz w:val="18"/>
              </w:rPr>
              <w:t>"The 8-Stage Prescriptive Pipeline"</w:t>
            </w:r>
          </w:p>
        </w:tc>
        <w:tc>
          <w:tcPr>
            <w:tcW w:type="dxa" w:w="3888"/>
          </w:tcPr>
          <w:p>
            <w:r>
              <w:rPr>
                <w:color w:val="1E232A"/>
                <w:sz w:val="18"/>
              </w:rPr>
              <w:t>Progressive disclosure of deterministic agent orchestration and quality gates.</w:t>
            </w:r>
          </w:p>
        </w:tc>
      </w:tr>
      <w:tr>
        <w:tc>
          <w:tcPr>
            <w:tcW w:type="dxa" w:w="2160"/>
            <w:shd w:fill="F4F6F8"/>
          </w:tcPr>
          <w:p>
            <w:r>
              <w:rPr>
                <w:color w:val="1E232A"/>
                <w:sz w:val="18"/>
              </w:rPr>
              <w:t>Scene 7 · Simulation in Silicon</w:t>
            </w:r>
          </w:p>
        </w:tc>
        <w:tc>
          <w:tcPr>
            <w:tcW w:type="dxa" w:w="3312"/>
            <w:shd w:fill="F4F6F8"/>
          </w:tcPr>
          <w:p>
            <w:r>
              <w:rPr>
                <w:color w:val="1E232A"/>
                <w:sz w:val="18"/>
              </w:rPr>
              <w:t>"Simulated Before Committed"</w:t>
            </w:r>
          </w:p>
        </w:tc>
        <w:tc>
          <w:tcPr>
            <w:tcW w:type="dxa" w:w="3888"/>
            <w:shd w:fill="F4F6F8"/>
          </w:tcPr>
          <w:p>
            <w:r>
              <w:rPr>
                <w:color w:val="1E232A"/>
                <w:sz w:val="18"/>
              </w:rPr>
              <w:t>Monte Carlo 2,000-run distribution (P10/P50/P90) &amp; SimPy queue simulation.</w:t>
            </w:r>
          </w:p>
        </w:tc>
      </w:tr>
      <w:tr>
        <w:tc>
          <w:tcPr>
            <w:tcW w:type="dxa" w:w="2160"/>
          </w:tcPr>
          <w:p>
            <w:r>
              <w:rPr>
                <w:color w:val="1E232A"/>
                <w:sz w:val="18"/>
              </w:rPr>
              <w:t>Scene 8 · The Proof</w:t>
            </w:r>
          </w:p>
        </w:tc>
        <w:tc>
          <w:tcPr>
            <w:tcW w:type="dxa" w:w="3312"/>
          </w:tcPr>
          <w:p>
            <w:r>
              <w:rPr>
                <w:color w:val="1E232A"/>
                <w:sz w:val="18"/>
              </w:rPr>
              <w:t>"+26.5% True Recovery Lift on Sealed Truth"</w:t>
            </w:r>
          </w:p>
        </w:tc>
        <w:tc>
          <w:tcPr>
            <w:tcW w:type="dxa" w:w="3888"/>
          </w:tcPr>
          <w:p>
            <w:r>
              <w:rPr>
                <w:color w:val="1E232A"/>
                <w:sz w:val="18"/>
              </w:rPr>
              <w:t>Decisive benchmark metrics: .9k recovery &amp; 19 fewer members pushed into default.</w:t>
            </w:r>
          </w:p>
        </w:tc>
      </w:tr>
      <w:tr>
        <w:tc>
          <w:tcPr>
            <w:tcW w:type="dxa" w:w="2160"/>
            <w:shd w:fill="F4F6F8"/>
          </w:tcPr>
          <w:p>
            <w:r>
              <w:rPr>
                <w:color w:val="1E232A"/>
                <w:sz w:val="18"/>
              </w:rPr>
              <w:t>Scene 9 · The Audit &amp; Counterfactual</w:t>
            </w:r>
          </w:p>
        </w:tc>
        <w:tc>
          <w:tcPr>
            <w:tcW w:type="dxa" w:w="3312"/>
            <w:shd w:fill="F4F6F8"/>
          </w:tcPr>
          <w:p>
            <w:r>
              <w:rPr>
                <w:color w:val="1E232A"/>
                <w:sz w:val="18"/>
              </w:rPr>
              <w:t>"Every Decision Has a Reason, a Source, and a Hash Chain"</w:t>
            </w:r>
          </w:p>
        </w:tc>
        <w:tc>
          <w:tcPr>
            <w:tcW w:type="dxa" w:w="3888"/>
            <w:shd w:fill="F4F6F8"/>
          </w:tcPr>
          <w:p>
            <w:r>
              <w:rPr>
                <w:color w:val="1E232A"/>
                <w:sz w:val="18"/>
              </w:rPr>
              <w:t>Solver counterfactual inspector &amp; SHA-256 tamper-evident compliance audit.</w:t>
            </w:r>
          </w:p>
        </w:tc>
      </w:tr>
      <w:tr>
        <w:tc>
          <w:tcPr>
            <w:tcW w:type="dxa" w:w="2160"/>
          </w:tcPr>
          <w:p>
            <w:r>
              <w:rPr>
                <w:color w:val="1E232A"/>
                <w:sz w:val="18"/>
              </w:rPr>
              <w:t>Scene 10 · The Reusable Core</w:t>
            </w:r>
          </w:p>
        </w:tc>
        <w:tc>
          <w:tcPr>
            <w:tcW w:type="dxa" w:w="3312"/>
          </w:tcPr>
          <w:p>
            <w:r>
              <w:rPr>
                <w:color w:val="1E232A"/>
                <w:sz w:val="18"/>
              </w:rPr>
              <w:t>"Ship the Slice. Design the Core."</w:t>
            </w:r>
          </w:p>
        </w:tc>
        <w:tc>
          <w:tcPr>
            <w:tcW w:type="dxa" w:w="3888"/>
          </w:tcPr>
          <w:p>
            <w:r>
              <w:rPr>
                <w:color w:val="1E232A"/>
                <w:sz w:val="18"/>
              </w:rPr>
              <w:t>Expanding beyond collections to NPA Early Warning, Retention, and Fraud via YAML packs.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