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36"/>
        </w:rPr>
        <w:t>TECHNICAL AUDIT &amp; BACKEND FIXES SPECIFICATION</w:t>
      </w:r>
    </w:p>
    <w:p>
      <w:pPr>
        <w:spacing w:after="360"/>
      </w:pPr>
      <w:r>
        <w:rPr>
          <w:rFonts w:ascii="Arial" w:hAnsi="Arial"/>
          <w:i/>
          <w:color w:val="0D9488"/>
          <w:sz w:val="24"/>
        </w:rPr>
        <w:t>Project: Mobdocsto Web Codebase Refactoring &amp; Pre-Mobile Launch Audit</w:t>
      </w:r>
    </w:p>
    <w:p>
      <w:pPr>
        <w:spacing w:after="240"/>
        <w:pBdr>
          <w:bottom w:val="single" w:sz="12" w:space="1" w:color="0D9488"/>
        </w:pBdr>
      </w:pPr>
    </w:p>
    <w:p>
      <w:pPr>
        <w:keepNext/>
        <w:spacing w:before="320" w:after="120"/>
      </w:pPr>
      <w:r>
        <w:rPr>
          <w:rFonts w:ascii="Arial" w:hAnsi="Arial"/>
          <w:b/>
          <w:color w:val="1E3A8A"/>
          <w:sz w:val="28"/>
        </w:rPr>
        <w:t>1. Audit Summary &amp; Architectural Validation</w:t>
      </w:r>
    </w:p>
    <w:p>
      <w:r>
        <w:t>A complete code audit was conducted on the mobdocsto web codebase repository. The architecture demonstrates exceptional backend design—featuring asynchronous job polling, server-side SHA-256 deduplication, multi-tenant user isolation, step-up security PIN gates, and a structured database pipeline.</w:t>
      </w:r>
    </w:p>
    <w:p>
      <w:r>
        <w:t>However, 4 critical technical discrepancies and edge cases were identified in the database schema and API routing layer. These issues must be refactored prior to launching the mobile app to prevent runtime exceptions and mobile transition failures.</w:t>
      </w:r>
    </w:p>
    <w:tbl>
      <w:tblPr>
        <w:tblW w:type="auto" w:w="0"/>
        <w:jc w:val="center"/>
        <w:tblLook w:firstColumn="1" w:firstRow="1" w:lastColumn="0" w:lastRow="0" w:noHBand="0" w:noVBand="1" w:val="04A0"/>
      </w:tblPr>
      <w:tblGrid>
        <w:gridCol w:w="9936"/>
      </w:tblGrid>
      <w:tr>
        <w:tc>
          <w:tcPr>
            <w:tcW w:type="dxa" w:w="9936"/>
            <w:shd w:val="clear" w:color="auto" w:fill="FEF2F2"/>
            <w:tcMar>
              <w:top w:w="120" w:type="dxa"/>
              <w:bottom w:w="120" w:type="dxa"/>
              <w:left w:w="180" w:type="dxa"/>
              <w:right w:w="180" w:type="dxa"/>
            </w:tcMar>
            <w:tcBorders>
              <w:left w:val="single" w:sz="24" w:space="0" w:color="B4402F"/>
              <w:top w:val="none"/>
              <w:bottom w:val="none"/>
              <w:right w:val="none"/>
            </w:tcBorders>
          </w:tcPr>
          <w:p>
            <w:pPr>
              <w:spacing w:after="0"/>
            </w:pPr>
            <w:r>
              <w:rPr>
                <w:b/>
                <w:color w:val="B4402F"/>
              </w:rPr>
              <w:t xml:space="preserve">MOBILE TRANSITION GUARANTEE: </w:t>
            </w:r>
            <w:r>
              <w:rPr>
                <w:color w:val="1F2937"/>
              </w:rPr>
              <w:t>Resolving these 4 fixes guarantees 100% API compatibility between your existing FastAPI/Supabase backend and the upcoming React Native / Expo mobile application.</w:t>
            </w:r>
          </w:p>
        </w:tc>
      </w:tr>
    </w:tbl>
    <w:p>
      <w:pPr>
        <w:spacing w:after="120"/>
      </w:pPr>
    </w:p>
    <w:p>
      <w:pPr>
        <w:keepNext/>
        <w:spacing w:before="320" w:after="120"/>
      </w:pPr>
      <w:r>
        <w:rPr>
          <w:rFonts w:ascii="Arial" w:hAnsi="Arial"/>
          <w:b/>
          <w:color w:val="1E3A8A"/>
          <w:sz w:val="28"/>
        </w:rPr>
        <w:t>2. Required Web Codebase &amp; Schema Fixes</w:t>
      </w:r>
    </w:p>
    <w:p>
      <w:pPr>
        <w:keepNext/>
        <w:spacing w:before="240" w:after="80"/>
      </w:pPr>
      <w:r>
        <w:rPr>
          <w:rFonts w:ascii="Arial" w:hAnsi="Arial"/>
          <w:b/>
          <w:color w:val="0D9488"/>
          <w:sz w:val="24"/>
        </w:rPr>
        <w:t>2.1 Fix A: Vector Dimension Mismatch (pgvector)</w:t>
      </w:r>
    </w:p>
    <w:p>
      <w:pPr>
        <w:pStyle w:val="ListBullet"/>
        <w:spacing w:after="60"/>
      </w:pPr>
      <w:r>
        <w:rPr>
          <w:b/>
          <w:color w:val="1F2937"/>
        </w:rPr>
        <w:t xml:space="preserve">Discrepancy: </w:t>
      </w:r>
      <w:r>
        <w:rPr>
          <w:color w:val="1F2937"/>
        </w:rPr>
        <w:t>The supabase/schema.sql file defines the embedding column as vector(768).</w:t>
      </w:r>
    </w:p>
    <w:p>
      <w:pPr>
        <w:pStyle w:val="ListBullet"/>
        <w:spacing w:after="60"/>
      </w:pPr>
      <w:r>
        <w:rPr>
          <w:b/>
          <w:color w:val="1F2937"/>
        </w:rPr>
        <w:t xml:space="preserve">Root Cause: </w:t>
      </w:r>
      <w:r>
        <w:rPr>
          <w:color w:val="1F2937"/>
        </w:rPr>
        <w:t>ai_processor.py invokes nvidia/llama-3.2-nv-embedqa-1b-v2 which outputs 1024-dimensional vectors, while the fallback function outputs 128-dimensional vectors.</w:t>
      </w:r>
    </w:p>
    <w:p>
      <w:pPr>
        <w:pStyle w:val="ListBullet"/>
        <w:spacing w:after="60"/>
      </w:pPr>
      <w:r>
        <w:rPr>
          <w:b/>
          <w:color w:val="1F2937"/>
        </w:rPr>
        <w:t xml:space="preserve">Impact: </w:t>
      </w:r>
      <w:r>
        <w:rPr>
          <w:color w:val="1F2937"/>
        </w:rPr>
        <w:t>Inserting 1024-dimensional vectors into a vector(768) column causes PostgreSQL to throw a fatal runtime exception during database writes.</w:t>
      </w:r>
    </w:p>
    <w:tbl>
      <w:tblPr>
        <w:tblW w:type="auto" w:w="0"/>
        <w:jc w:val="center"/>
        <w:tblLook w:firstColumn="1" w:firstRow="1" w:lastColumn="0" w:lastRow="0" w:noHBand="0" w:noVBand="1" w:val="04A0"/>
      </w:tblPr>
      <w:tblGrid>
        <w:gridCol w:w="9936"/>
      </w:tblGrid>
      <w:tr>
        <w:tc>
          <w:tcPr>
            <w:tcW w:type="dxa" w:w="9936"/>
            <w:shd w:val="clear" w:color="auto" w:fill="1E293B"/>
            <w:tcMar>
              <w:top w:w="100" w:type="dxa"/>
              <w:bottom w:w="100" w:type="dxa"/>
              <w:left w:w="150" w:type="dxa"/>
              <w:right w:w="150" w:type="dxa"/>
            </w:tcMar>
          </w:tcPr>
          <w:p>
            <w:pPr>
              <w:spacing w:after="0"/>
            </w:pPr>
            <w:r>
              <w:rPr>
                <w:rFonts w:ascii="Courier New" w:hAnsi="Courier New"/>
                <w:color w:val="E2E8F0"/>
                <w:sz w:val="17"/>
              </w:rPr>
              <w:t>-- Fix A: Update vector dimension to 1024</w:t>
              <w:br/>
              <w:t>CREATE TABLE IF NOT EXISTS public.document_embeddings (</w:t>
              <w:br/>
              <w:t xml:space="preserve">    id UUID PRIMARY KEY DEFAULT gen_random_uuid(),</w:t>
              <w:br/>
              <w:t xml:space="preserve">    document_id UUID REFERENCES public.documents(id) ON DELETE CASCADE NOT NULL,</w:t>
              <w:br/>
              <w:t xml:space="preserve">    user_id UUID REFERENCES auth.users(id) ON DELETE CASCADE,</w:t>
              <w:br/>
              <w:t xml:space="preserve">    embedding vector(1024), -- Updated to 1024 dimensions</w:t>
              <w:br/>
              <w:t xml:space="preserve">    model_name TEXT NOT NULL DEFAULT 'nvidia/llama-3.2-nv-embedqa-1b-v2',</w:t>
              <w:br/>
              <w:t xml:space="preserve">    created_at TIMESTAMP WITH TIME ZONE DEFAULT timezone('utc'::text, now()) NOT NULL</w:t>
              <w:br/>
              <w:t>);</w:t>
            </w:r>
          </w:p>
        </w:tc>
      </w:tr>
    </w:tbl>
    <w:p>
      <w:pPr>
        <w:keepNext/>
        <w:spacing w:before="240" w:after="80"/>
      </w:pPr>
      <w:r>
        <w:rPr>
          <w:rFonts w:ascii="Arial" w:hAnsi="Arial"/>
          <w:b/>
          <w:color w:val="0D9488"/>
          <w:sz w:val="24"/>
        </w:rPr>
        <w:t>2.2 Fix B: Category Check Constraint Discrepancy</w:t>
      </w:r>
    </w:p>
    <w:p>
      <w:pPr>
        <w:pStyle w:val="ListBullet"/>
        <w:spacing w:after="60"/>
      </w:pPr>
      <w:r>
        <w:rPr>
          <w:b/>
          <w:color w:val="1F2937"/>
        </w:rPr>
        <w:t xml:space="preserve">Discrepancy: </w:t>
      </w:r>
      <w:r>
        <w:rPr>
          <w:color w:val="1F2937"/>
        </w:rPr>
        <w:t>The backend router (documents.py) and frontend (App.jsx) use 8 Master Categories: Tax, Financial &amp; Bank, Identity &amp; Official, Utility &amp; Bills, Travel &amp; Tickets, Medical &amp; Health, Receipts &amp; Invoices, Other / Unsorted.</w:t>
      </w:r>
    </w:p>
    <w:p>
      <w:pPr>
        <w:pStyle w:val="ListBullet"/>
        <w:spacing w:after="60"/>
      </w:pPr>
      <w:r>
        <w:rPr>
          <w:b/>
          <w:color w:val="1F2937"/>
        </w:rPr>
        <w:t xml:space="preserve">Root Cause: </w:t>
      </w:r>
      <w:r>
        <w:rPr>
          <w:color w:val="1F2937"/>
        </w:rPr>
        <w:t>The SQL schema enforces an outdated constraint: CHECK (category IN ('Tax', 'Medical', 'Utility', 'Travel', 'Receipts', 'Identity', 'General')).</w:t>
      </w:r>
    </w:p>
    <w:p>
      <w:pPr>
        <w:pStyle w:val="ListBullet"/>
        <w:spacing w:after="60"/>
      </w:pPr>
      <w:r>
        <w:rPr>
          <w:b/>
          <w:color w:val="1F2937"/>
        </w:rPr>
        <w:t xml:space="preserve">Impact: </w:t>
      </w:r>
      <w:r>
        <w:rPr>
          <w:color w:val="1F2937"/>
        </w:rPr>
        <w:t>Documents categorized under 'Financial &amp; Bank' or 'Utility &amp; Bills' fail database insertion due to SQL constraint violation.</w:t>
      </w:r>
    </w:p>
    <w:tbl>
      <w:tblPr>
        <w:tblW w:type="auto" w:w="0"/>
        <w:jc w:val="center"/>
        <w:tblLook w:firstColumn="1" w:firstRow="1" w:lastColumn="0" w:lastRow="0" w:noHBand="0" w:noVBand="1" w:val="04A0"/>
      </w:tblPr>
      <w:tblGrid>
        <w:gridCol w:w="9936"/>
      </w:tblGrid>
      <w:tr>
        <w:tc>
          <w:tcPr>
            <w:tcW w:type="dxa" w:w="9936"/>
            <w:shd w:val="clear" w:color="auto" w:fill="1E293B"/>
            <w:tcMar>
              <w:top w:w="100" w:type="dxa"/>
              <w:bottom w:w="100" w:type="dxa"/>
              <w:left w:w="150" w:type="dxa"/>
              <w:right w:w="150" w:type="dxa"/>
            </w:tcMar>
          </w:tcPr>
          <w:p>
            <w:pPr>
              <w:spacing w:after="0"/>
            </w:pPr>
            <w:r>
              <w:rPr>
                <w:rFonts w:ascii="Courier New" w:hAnsi="Courier New"/>
                <w:color w:val="E2E8F0"/>
                <w:sz w:val="17"/>
              </w:rPr>
              <w:t>-- Fix B: Update CHECK constraint for 8 Master Categories</w:t>
              <w:br/>
              <w:t>ALTER TABLE public.documents DROP CONSTRAINT IF EXISTS documents_category_check;</w:t>
              <w:br/>
              <w:t xml:space="preserve">ALTER TABLE public.documents ADD CONSTRAINT documents_category_check </w:t>
              <w:br/>
              <w:t>CHECK (category IN (</w:t>
              <w:br/>
              <w:t xml:space="preserve">    'Tax', 'Financial &amp; Bank', 'Identity &amp; Official', </w:t>
              <w:br/>
              <w:t xml:space="preserve">    'Utility &amp; Bills', 'Travel &amp; Tickets', 'Medical &amp; Health', </w:t>
              <w:br/>
              <w:t xml:space="preserve">    'Receipts &amp; Invoices', 'Other / Unsorted'</w:t>
              <w:br/>
              <w:t>));</w:t>
            </w:r>
          </w:p>
        </w:tc>
      </w:tr>
    </w:tbl>
    <w:p>
      <w:pPr>
        <w:keepNext/>
        <w:spacing w:before="240" w:after="80"/>
      </w:pPr>
      <w:r>
        <w:rPr>
          <w:rFonts w:ascii="Arial" w:hAnsi="Arial"/>
          <w:b/>
          <w:color w:val="0D9488"/>
          <w:sz w:val="24"/>
        </w:rPr>
        <w:t>2.3 Fix C: Header Case Sensitivity for Mobile Clients</w:t>
      </w:r>
    </w:p>
    <w:p>
      <w:pPr>
        <w:pStyle w:val="ListBullet"/>
        <w:spacing w:after="60"/>
      </w:pPr>
      <w:r>
        <w:rPr>
          <w:b/>
          <w:color w:val="1F2937"/>
        </w:rPr>
        <w:t xml:space="preserve">Discrepancy: </w:t>
      </w:r>
      <w:r>
        <w:rPr>
          <w:color w:val="1F2937"/>
        </w:rPr>
        <w:t>backend/routers/documents.py checks for Header('usr_anandha', alias='X-User-Id').</w:t>
      </w:r>
    </w:p>
    <w:p>
      <w:pPr>
        <w:pStyle w:val="ListBullet"/>
        <w:spacing w:after="60"/>
      </w:pPr>
      <w:r>
        <w:rPr>
          <w:b/>
          <w:color w:val="1F2937"/>
        </w:rPr>
        <w:t xml:space="preserve">Root Cause: </w:t>
      </w:r>
      <w:r>
        <w:rPr>
          <w:color w:val="1F2937"/>
        </w:rPr>
        <w:t>Native mobile HTTP clients (React Native fetch / iOS URLSession) automatically lower-case HTTP header keys (e.g., x-user-id).</w:t>
      </w:r>
    </w:p>
    <w:p>
      <w:pPr>
        <w:pStyle w:val="ListBullet"/>
        <w:spacing w:after="60"/>
      </w:pPr>
      <w:r>
        <w:rPr>
          <w:b/>
          <w:color w:val="1F2937"/>
        </w:rPr>
        <w:t xml:space="preserve">Remediation: </w:t>
      </w:r>
      <w:r>
        <w:rPr>
          <w:color w:val="1F2937"/>
        </w:rPr>
        <w:t>Update FastAPI header dependencies to perform case-insensitive header parsing (Header(None, alias='x-user-id')).</w:t>
      </w:r>
    </w:p>
    <w:p>
      <w:pPr>
        <w:keepNext/>
        <w:spacing w:before="240" w:after="80"/>
      </w:pPr>
      <w:r>
        <w:rPr>
          <w:rFonts w:ascii="Arial" w:hAnsi="Arial"/>
          <w:b/>
          <w:color w:val="0D9488"/>
          <w:sz w:val="24"/>
        </w:rPr>
        <w:t>2.4 Fix D: CORS Security Policy Refactoring</w:t>
      </w:r>
    </w:p>
    <w:p>
      <w:pPr>
        <w:pStyle w:val="ListBullet"/>
        <w:spacing w:after="60"/>
      </w:pPr>
      <w:r>
        <w:rPr>
          <w:b/>
          <w:color w:val="1F2937"/>
        </w:rPr>
        <w:t xml:space="preserve">Discrepancy: </w:t>
      </w:r>
      <w:r>
        <w:rPr>
          <w:color w:val="1F2937"/>
        </w:rPr>
        <w:t>backend/main.py configures CORS with allow_origins=['*'].</w:t>
      </w:r>
    </w:p>
    <w:p>
      <w:pPr>
        <w:pStyle w:val="ListBullet"/>
        <w:spacing w:after="60"/>
      </w:pPr>
      <w:r>
        <w:rPr>
          <w:b/>
          <w:color w:val="1F2937"/>
        </w:rPr>
        <w:t xml:space="preserve">Root Cause: </w:t>
      </w:r>
      <w:r>
        <w:rPr>
          <w:color w:val="1F2937"/>
        </w:rPr>
        <w:t>Wildcard CORS origins with credentialed headers (Authorization Bearer tokens) can trigger pre-flight failures on native mobile webviews.</w:t>
      </w:r>
    </w:p>
    <w:p>
      <w:pPr>
        <w:pStyle w:val="ListBullet"/>
        <w:spacing w:after="60"/>
      </w:pPr>
      <w:r>
        <w:rPr>
          <w:b/>
          <w:color w:val="1F2937"/>
        </w:rPr>
        <w:t xml:space="preserve">Remediation: </w:t>
      </w:r>
      <w:r>
        <w:rPr>
          <w:color w:val="1F2937"/>
        </w:rPr>
        <w:t>Refactor CORS middleware to dynamically validate allowed origins while maintaining Bearer token support.</w:t>
      </w:r>
    </w:p>
    <w:p>
      <w:pPr>
        <w:keepNext/>
        <w:spacing w:before="320" w:after="120"/>
      </w:pPr>
      <w:r>
        <w:rPr>
          <w:rFonts w:ascii="Arial" w:hAnsi="Arial"/>
          <w:b/>
          <w:color w:val="1E3A8A"/>
          <w:sz w:val="28"/>
        </w:rPr>
        <w:t>3. Validation Checklist</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E3A8A"/>
          </w:tcPr>
          <w:p>
            <w:r>
              <w:rPr>
                <w:b/>
                <w:color w:val="FFFFFF"/>
              </w:rPr>
              <w:t>Architectural Domain</w:t>
            </w:r>
          </w:p>
        </w:tc>
        <w:tc>
          <w:tcPr>
            <w:tcW w:type="dxa" w:w="3312"/>
            <w:shd w:val="clear" w:color="auto" w:fill="1E3A8A"/>
          </w:tcPr>
          <w:p>
            <w:r>
              <w:rPr>
                <w:b/>
                <w:color w:val="FFFFFF"/>
              </w:rPr>
              <w:t>Web Implementation Status</w:t>
            </w:r>
          </w:p>
        </w:tc>
        <w:tc>
          <w:tcPr>
            <w:tcW w:type="dxa" w:w="3312"/>
            <w:shd w:val="clear" w:color="auto" w:fill="1E3A8A"/>
          </w:tcPr>
          <w:p>
            <w:r>
              <w:rPr>
                <w:b/>
                <w:color w:val="FFFFFF"/>
              </w:rPr>
              <w:t>Mobile Readiness Assessment</w:t>
            </w:r>
          </w:p>
        </w:tc>
      </w:tr>
      <w:tr>
        <w:tc>
          <w:tcPr>
            <w:tcW w:type="dxa" w:w="3312"/>
            <w:shd w:val="clear" w:color="auto" w:fill="F3F4F6"/>
            <w:tcMar>
              <w:top w:w="80" w:type="dxa"/>
              <w:bottom w:w="80" w:type="dxa"/>
              <w:left w:w="100" w:type="dxa"/>
              <w:right w:w="100" w:type="dxa"/>
            </w:tcMar>
          </w:tcPr>
          <w:p>
            <w:r>
              <w:t>API-First Decoupling</w:t>
            </w:r>
          </w:p>
        </w:tc>
        <w:tc>
          <w:tcPr>
            <w:tcW w:type="dxa" w:w="3312"/>
            <w:shd w:val="clear" w:color="auto" w:fill="F3F4F6"/>
            <w:tcMar>
              <w:top w:w="80" w:type="dxa"/>
              <w:bottom w:w="80" w:type="dxa"/>
              <w:left w:w="100" w:type="dxa"/>
              <w:right w:w="100" w:type="dxa"/>
            </w:tcMar>
          </w:tcPr>
          <w:p>
            <w:r>
              <w:t>FastAPI endpoints return pure JSON payloads.</w:t>
            </w:r>
          </w:p>
        </w:tc>
        <w:tc>
          <w:tcPr>
            <w:tcW w:type="dxa" w:w="3312"/>
            <w:shd w:val="clear" w:color="auto" w:fill="F3F4F6"/>
            <w:tcMar>
              <w:top w:w="80" w:type="dxa"/>
              <w:bottom w:w="80" w:type="dxa"/>
              <w:left w:w="100" w:type="dxa"/>
              <w:right w:w="100" w:type="dxa"/>
            </w:tcMar>
          </w:tcPr>
          <w:p>
            <w:r>
              <w:t>PASS — Mobile app can consume endpoints verbatim.</w:t>
            </w:r>
          </w:p>
        </w:tc>
      </w:tr>
      <w:tr>
        <w:tc>
          <w:tcPr>
            <w:tcW w:type="dxa" w:w="3312"/>
            <w:shd w:val="clear" w:color="auto" w:fill="FFFFFF"/>
            <w:tcMar>
              <w:top w:w="80" w:type="dxa"/>
              <w:bottom w:w="80" w:type="dxa"/>
              <w:left w:w="100" w:type="dxa"/>
              <w:right w:w="100" w:type="dxa"/>
            </w:tcMar>
          </w:tcPr>
          <w:p>
            <w:r>
              <w:t>Asynchronous Ingestion</w:t>
            </w:r>
          </w:p>
        </w:tc>
        <w:tc>
          <w:tcPr>
            <w:tcW w:type="dxa" w:w="3312"/>
            <w:shd w:val="clear" w:color="auto" w:fill="FFFFFF"/>
            <w:tcMar>
              <w:top w:w="80" w:type="dxa"/>
              <w:bottom w:w="80" w:type="dxa"/>
              <w:left w:w="100" w:type="dxa"/>
              <w:right w:w="100" w:type="dxa"/>
            </w:tcMar>
          </w:tcPr>
          <w:p>
            <w:r>
              <w:t>Upload returns job_id instantly while background task processes OCR.</w:t>
            </w:r>
          </w:p>
        </w:tc>
        <w:tc>
          <w:tcPr>
            <w:tcW w:type="dxa" w:w="3312"/>
            <w:shd w:val="clear" w:color="auto" w:fill="FFFFFF"/>
            <w:tcMar>
              <w:top w:w="80" w:type="dxa"/>
              <w:bottom w:w="80" w:type="dxa"/>
              <w:left w:w="100" w:type="dxa"/>
              <w:right w:w="100" w:type="dxa"/>
            </w:tcMar>
          </w:tcPr>
          <w:p>
            <w:r>
              <w:t>PASS — Safe for mobile Share Extensions with 120MB limits.</w:t>
            </w:r>
          </w:p>
        </w:tc>
      </w:tr>
      <w:tr>
        <w:tc>
          <w:tcPr>
            <w:tcW w:type="dxa" w:w="3312"/>
            <w:shd w:val="clear" w:color="auto" w:fill="F3F4F6"/>
            <w:tcMar>
              <w:top w:w="80" w:type="dxa"/>
              <w:bottom w:w="80" w:type="dxa"/>
              <w:left w:w="100" w:type="dxa"/>
              <w:right w:w="100" w:type="dxa"/>
            </w:tcMar>
          </w:tcPr>
          <w:p>
            <w:r>
              <w:t>Data Deduplication</w:t>
            </w:r>
          </w:p>
        </w:tc>
        <w:tc>
          <w:tcPr>
            <w:tcW w:type="dxa" w:w="3312"/>
            <w:shd w:val="clear" w:color="auto" w:fill="F3F4F6"/>
            <w:tcMar>
              <w:top w:w="80" w:type="dxa"/>
              <w:bottom w:w="80" w:type="dxa"/>
              <w:left w:w="100" w:type="dxa"/>
              <w:right w:w="100" w:type="dxa"/>
            </w:tcMar>
          </w:tcPr>
          <w:p>
            <w:r>
              <w:t>Server computes SHA-256 hash on raw bytes before DB insert.</w:t>
            </w:r>
          </w:p>
        </w:tc>
        <w:tc>
          <w:tcPr>
            <w:tcW w:type="dxa" w:w="3312"/>
            <w:shd w:val="clear" w:color="auto" w:fill="F3F4F6"/>
            <w:tcMar>
              <w:top w:w="80" w:type="dxa"/>
              <w:bottom w:w="80" w:type="dxa"/>
              <w:left w:w="100" w:type="dxa"/>
              <w:right w:w="100" w:type="dxa"/>
            </w:tcMar>
          </w:tcPr>
          <w:p>
            <w:r>
              <w:t>PASS — Prevents duplicate uploads from mobile share sheet.</w:t>
            </w:r>
          </w:p>
        </w:tc>
      </w:tr>
      <w:tr>
        <w:tc>
          <w:tcPr>
            <w:tcW w:type="dxa" w:w="3312"/>
            <w:shd w:val="clear" w:color="auto" w:fill="FFFFFF"/>
            <w:tcMar>
              <w:top w:w="80" w:type="dxa"/>
              <w:bottom w:w="80" w:type="dxa"/>
              <w:left w:w="100" w:type="dxa"/>
              <w:right w:w="100" w:type="dxa"/>
            </w:tcMar>
          </w:tcPr>
          <w:p>
            <w:r>
              <w:t>Security Gates</w:t>
            </w:r>
          </w:p>
        </w:tc>
        <w:tc>
          <w:tcPr>
            <w:tcW w:type="dxa" w:w="3312"/>
            <w:shd w:val="clear" w:color="auto" w:fill="FFFFFF"/>
            <w:tcMar>
              <w:top w:w="80" w:type="dxa"/>
              <w:bottom w:w="80" w:type="dxa"/>
              <w:left w:w="100" w:type="dxa"/>
              <w:right w:w="100" w:type="dxa"/>
            </w:tcMar>
          </w:tcPr>
          <w:p>
            <w:r>
              <w:t>Step-up PIN endpoint (/api/documents/security/verify-pin).</w:t>
            </w:r>
          </w:p>
        </w:tc>
        <w:tc>
          <w:tcPr>
            <w:tcW w:type="dxa" w:w="3312"/>
            <w:shd w:val="clear" w:color="auto" w:fill="FFFFFF"/>
            <w:tcMar>
              <w:top w:w="80" w:type="dxa"/>
              <w:bottom w:w="80" w:type="dxa"/>
              <w:left w:w="100" w:type="dxa"/>
              <w:right w:w="100" w:type="dxa"/>
            </w:tcMar>
          </w:tcPr>
          <w:p>
            <w:r>
              <w:t>PASS — Maps cleanly to native Face ID / Fingerprint prompts.</w:t>
            </w:r>
          </w:p>
        </w:tc>
      </w:tr>
    </w:tbl>
    <w:p>
      <w:pPr>
        <w:spacing w:after="20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