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36"/>
        </w:rPr>
        <w:t>SYSTEM ARCHITECTURE &amp; PRODUCT REQUIREMENTS SPECIFICATION</w:t>
      </w:r>
    </w:p>
    <w:p>
      <w:pPr>
        <w:spacing w:after="360"/>
      </w:pPr>
      <w:r>
        <w:rPr>
          <w:rFonts w:ascii="Arial" w:hAnsi="Arial"/>
          <w:i/>
          <w:color w:val="0D9488"/>
          <w:sz w:val="24"/>
        </w:rPr>
        <w:t>Project: Intelligent Catch-All Document Vault (API-First Web-to-Mobile Transition)</w:t>
      </w:r>
    </w:p>
    <w:p>
      <w:pPr>
        <w:spacing w:after="240"/>
        <w:pBdr>
          <w:bottom w:val="single" w:sz="12" w:space="1" w:color="0D9488"/>
        </w:pBdr>
      </w:pPr>
    </w:p>
    <w:p>
      <w:pPr>
        <w:keepNext/>
        <w:spacing w:before="320" w:after="120"/>
      </w:pPr>
      <w:r>
        <w:rPr>
          <w:rFonts w:ascii="Arial" w:hAnsi="Arial"/>
          <w:b/>
          <w:color w:val="1E3A8A"/>
          <w:sz w:val="28"/>
        </w:rPr>
        <w:t>1. Executive Summary &amp; Problem Definition</w:t>
      </w:r>
    </w:p>
    <w:p>
      <w:r>
        <w:t xml:space="preserve">The modern digital workflow suffers heavily from the </w:t>
      </w:r>
      <w:r>
        <w:rPr>
          <w:b/>
        </w:rPr>
        <w:t>'Downloads Folder Graveyard' problem</w:t>
      </w:r>
      <w:r>
        <w:t>. Users download critical digital assets—including invoices, identity proofs, medical records, tax documents, airline tickets, and utility bills—from browsers, email clients, or messaging applications. At the moment of acquisition, users defer organizing these files, leading to lost documents, inefficient search, forgotten renewal dates, and significant cognitive overhead.</w:t>
      </w:r>
    </w:p>
    <w:p>
      <w:r>
        <w:t xml:space="preserve">This project specifies an </w:t>
      </w:r>
      <w:r>
        <w:rPr>
          <w:b/>
        </w:rPr>
        <w:t>Intelligent Catch-All Document Vault</w:t>
      </w:r>
      <w:r>
        <w:t>. The system fundamentally shifts document management from manual folder hierarchies to a frictionless, event-driven intake model with automatic AI-based OCR parsing, metadata structured extraction, and vector-driven natural language search.</w:t>
      </w:r>
    </w:p>
    <w:tbl>
      <w:tblPr>
        <w:tblW w:type="auto" w:w="0"/>
        <w:jc w:val="center"/>
        <w:tblLook w:firstColumn="1" w:firstRow="1" w:lastColumn="0" w:lastRow="0" w:noHBand="0" w:noVBand="1" w:val="04A0"/>
      </w:tblPr>
      <w:tblGrid>
        <w:gridCol w:w="9936"/>
      </w:tblGrid>
      <w:tr>
        <w:tc>
          <w:tcPr>
            <w:tcW w:type="dxa" w:w="9936"/>
            <w:shd w:val="clear" w:color="auto" w:fill="F0FDF4"/>
            <w:tcMar>
              <w:top w:w="120" w:type="dxa"/>
              <w:bottom w:w="120" w:type="dxa"/>
              <w:left w:w="180" w:type="dxa"/>
              <w:right w:w="180" w:type="dxa"/>
            </w:tcMar>
            <w:tcBorders>
              <w:left w:val="single" w:sz="24" w:space="0" w:color="0D9488"/>
              <w:top w:val="none"/>
              <w:bottom w:val="none"/>
              <w:right w:val="none"/>
            </w:tcBorders>
          </w:tcPr>
          <w:p>
            <w:pPr>
              <w:spacing w:after="0"/>
            </w:pPr>
            <w:r>
              <w:rPr>
                <w:b/>
                <w:color w:val="0D9488"/>
              </w:rPr>
              <w:t xml:space="preserve">API-FIRST ARCHITECTURE GUARANTEE: </w:t>
            </w:r>
            <w:r>
              <w:rPr>
                <w:color w:val="1F2937"/>
              </w:rPr>
              <w:t>Development Strategy: The application is engineered with an API-First Web Architecture (Next.js + Supabase). Building an isolated API layer on the web ensures 100% of backend endpoints, auth rules, AI parsers, and vector pipelines will be reused verbatim when transitioning to the React Native / Expo mobile app.</w:t>
            </w:r>
          </w:p>
        </w:tc>
      </w:tr>
    </w:tbl>
    <w:p>
      <w:pPr>
        <w:spacing w:after="120"/>
      </w:pPr>
    </w:p>
    <w:p>
      <w:pPr>
        <w:keepNext/>
        <w:spacing w:before="320" w:after="120"/>
      </w:pPr>
      <w:r>
        <w:rPr>
          <w:rFonts w:ascii="Arial" w:hAnsi="Arial"/>
          <w:b/>
          <w:color w:val="1E3A8A"/>
          <w:sz w:val="28"/>
        </w:rPr>
        <w:t>2. Core Feature Specifications</w:t>
      </w:r>
    </w:p>
    <w:p>
      <w:pPr>
        <w:keepNext/>
        <w:spacing w:before="240" w:after="80"/>
      </w:pPr>
      <w:r>
        <w:rPr>
          <w:rFonts w:ascii="Arial" w:hAnsi="Arial"/>
          <w:b/>
          <w:color w:val="0D9488"/>
          <w:sz w:val="24"/>
        </w:rPr>
        <w:t>2.1 Zero-Friction Intake &amp; Ingestion</w:t>
      </w:r>
    </w:p>
    <w:p>
      <w:pPr>
        <w:pStyle w:val="ListBullet"/>
        <w:spacing w:after="60"/>
      </w:pPr>
      <w:r>
        <w:rPr>
          <w:b/>
          <w:color w:val="1F2937"/>
        </w:rPr>
        <w:t xml:space="preserve">Web Intake Dashboard: </w:t>
      </w:r>
      <w:r>
        <w:rPr>
          <w:color w:val="1F2937"/>
        </w:rPr>
        <w:t xml:space="preserve"> Web interface equipped with drag-and-drop zone, batch file selector, and mobile-friendly responsive upload portal.</w:t>
      </w:r>
    </w:p>
    <w:p>
      <w:pPr>
        <w:pStyle w:val="ListBullet"/>
        <w:spacing w:after="60"/>
      </w:pPr>
      <w:r>
        <w:rPr>
          <w:b/>
          <w:color w:val="1F2937"/>
        </w:rPr>
        <w:t xml:space="preserve">Native OS Share Target (Phase 2): </w:t>
      </w:r>
      <w:r>
        <w:rPr>
          <w:color w:val="1F2937"/>
        </w:rPr>
        <w:t xml:space="preserve"> Native integration into iOS Share Sheet and Android Intent framework (`expo-share-intent`). Users share any downloaded file directly to the application without opening a browser.</w:t>
      </w:r>
    </w:p>
    <w:p>
      <w:pPr>
        <w:pStyle w:val="ListBullet"/>
        <w:spacing w:after="60"/>
      </w:pPr>
      <w:r>
        <w:rPr>
          <w:b/>
          <w:color w:val="1F2937"/>
        </w:rPr>
        <w:t xml:space="preserve">Inbound Email Bridge (Future): </w:t>
      </w:r>
      <w:r>
        <w:rPr>
          <w:color w:val="1F2937"/>
        </w:rPr>
        <w:t xml:space="preserve"> Custom user email endpoints (e.g., `user123@myvault.app`) allowing automated attachment parsing upon email forwarding.</w:t>
      </w:r>
    </w:p>
    <w:p>
      <w:pPr>
        <w:keepNext/>
        <w:spacing w:before="240" w:after="80"/>
      </w:pPr>
      <w:r>
        <w:rPr>
          <w:rFonts w:ascii="Arial" w:hAnsi="Arial"/>
          <w:b/>
          <w:color w:val="0D9488"/>
          <w:sz w:val="24"/>
        </w:rPr>
        <w:t>2.2 AI Extraction &amp; Automatic Organization</w:t>
      </w:r>
    </w:p>
    <w:p>
      <w:pPr>
        <w:pStyle w:val="ListBullet"/>
        <w:spacing w:after="60"/>
      </w:pPr>
      <w:r>
        <w:rPr>
          <w:b/>
          <w:color w:val="1F2937"/>
        </w:rPr>
        <w:t xml:space="preserve">OCR Text Extraction Engine: </w:t>
      </w:r>
      <w:r>
        <w:rPr>
          <w:color w:val="1F2937"/>
        </w:rPr>
        <w:t xml:space="preserve"> Local/Server-side Optical Character Recognition converts scanned documents and PDFs into clean text blocks.</w:t>
      </w:r>
    </w:p>
    <w:p>
      <w:pPr>
        <w:pStyle w:val="ListBullet"/>
        <w:spacing w:after="60"/>
      </w:pPr>
      <w:r>
        <w:rPr>
          <w:b/>
          <w:color w:val="1F2937"/>
        </w:rPr>
        <w:t xml:space="preserve">Zero-Setup Auto-Categorization: </w:t>
      </w:r>
      <w:r>
        <w:rPr>
          <w:color w:val="1F2937"/>
        </w:rPr>
        <w:t xml:space="preserve"> Extracted text is evaluated by an LLM using strict JSON Schema enforcement. Automatically assigns labels (Tax, Medical, Utility, Travel, Receipts, Identity).</w:t>
      </w:r>
    </w:p>
    <w:p>
      <w:pPr>
        <w:pStyle w:val="ListBullet"/>
        <w:spacing w:after="60"/>
      </w:pPr>
      <w:r>
        <w:rPr>
          <w:b/>
          <w:color w:val="1F2937"/>
        </w:rPr>
        <w:t xml:space="preserve">Smart Auto-Renaming: </w:t>
      </w:r>
      <w:r>
        <w:rPr>
          <w:color w:val="1F2937"/>
        </w:rPr>
        <w:t xml:space="preserve"> Transforms generic auto-generated filenames (e.g., `IMG_0098.pdf`) into normalized, readable strings (e.g., `ICICI_Bank_Statement_Jan2026.pdf`).</w:t>
      </w:r>
    </w:p>
    <w:p>
      <w:pPr>
        <w:pStyle w:val="ListBullet"/>
        <w:spacing w:after="60"/>
      </w:pPr>
      <w:r>
        <w:rPr>
          <w:b/>
          <w:color w:val="1F2937"/>
        </w:rPr>
        <w:t xml:space="preserve">Key Metadata Extraction: </w:t>
      </w:r>
      <w:r>
        <w:rPr>
          <w:color w:val="1F2937"/>
        </w:rPr>
        <w:t xml:space="preserve"> Pulls specific key-value pairs per document type:</w:t>
      </w:r>
    </w:p>
    <w:p>
      <w:pPr>
        <w:pStyle w:val="ListBullet"/>
        <w:spacing w:after="60"/>
      </w:pPr>
      <w:r>
        <w:rPr>
          <w:b/>
          <w:color w:val="1F2937"/>
        </w:rPr>
        <w:t xml:space="preserve">• Receipts/Invoices: </w:t>
      </w:r>
      <w:r>
        <w:rPr>
          <w:color w:val="1F2937"/>
        </w:rPr>
        <w:t>Vendor Name, Total Amount, Transaction Date, Tax Category.</w:t>
      </w:r>
    </w:p>
    <w:p>
      <w:pPr>
        <w:pStyle w:val="ListBullet"/>
        <w:spacing w:after="60"/>
      </w:pPr>
      <w:r>
        <w:rPr>
          <w:b/>
          <w:color w:val="1F2937"/>
        </w:rPr>
        <w:t xml:space="preserve">• Utility Bills: </w:t>
      </w:r>
      <w:r>
        <w:rPr>
          <w:color w:val="1F2937"/>
        </w:rPr>
        <w:t>Due Date, Account Number, Minimum Payable, Billing Period.</w:t>
      </w:r>
    </w:p>
    <w:p>
      <w:pPr>
        <w:pStyle w:val="ListBullet"/>
        <w:spacing w:after="60"/>
      </w:pPr>
      <w:r>
        <w:rPr>
          <w:b/>
          <w:color w:val="1F2937"/>
        </w:rPr>
        <w:t xml:space="preserve">• Tickets/Travel: </w:t>
      </w:r>
      <w:r>
        <w:rPr>
          <w:color w:val="1F2937"/>
        </w:rPr>
        <w:t>Flight/Train Time, Gate, Confirmation Code, PNR.</w:t>
      </w:r>
    </w:p>
    <w:p>
      <w:pPr>
        <w:pStyle w:val="ListBullet"/>
        <w:spacing w:after="60"/>
      </w:pPr>
      <w:r>
        <w:rPr>
          <w:b/>
          <w:color w:val="1F2937"/>
        </w:rPr>
        <w:t xml:space="preserve">AI Auto-Summarization: </w:t>
      </w:r>
      <w:r>
        <w:rPr>
          <w:color w:val="1F2937"/>
        </w:rPr>
        <w:t>Generates a concise 2-sentence synopsis for instant preview without opening the file.</w:t>
      </w:r>
    </w:p>
    <w:p>
      <w:pPr>
        <w:keepNext/>
        <w:spacing w:before="240" w:after="80"/>
      </w:pPr>
      <w:r>
        <w:rPr>
          <w:rFonts w:ascii="Arial" w:hAnsi="Arial"/>
          <w:b/>
          <w:color w:val="0D9488"/>
          <w:sz w:val="24"/>
        </w:rPr>
        <w:t>2.3 Intelligent Search &amp; Retrieval</w:t>
      </w:r>
    </w:p>
    <w:p>
      <w:pPr>
        <w:pStyle w:val="ListBullet"/>
        <w:spacing w:after="60"/>
      </w:pPr>
      <w:r>
        <w:rPr>
          <w:b/>
          <w:color w:val="1F2937"/>
        </w:rPr>
        <w:t xml:space="preserve">Semantic Vector Search: </w:t>
      </w:r>
      <w:r>
        <w:rPr>
          <w:color w:val="1F2937"/>
        </w:rPr>
        <w:t xml:space="preserve"> Converts document summaries into 1536-dimensional vector embeddings stored via PostgreSQL `pgvector`. Users query in natural language (e.g., 'How much was my electricity bill last month?').</w:t>
      </w:r>
    </w:p>
    <w:p>
      <w:pPr>
        <w:pStyle w:val="ListBullet"/>
        <w:spacing w:after="60"/>
      </w:pPr>
      <w:r>
        <w:rPr>
          <w:b/>
          <w:color w:val="1F2937"/>
        </w:rPr>
        <w:t xml:space="preserve">Chat with Your Vault: </w:t>
      </w:r>
      <w:r>
        <w:rPr>
          <w:color w:val="1F2937"/>
        </w:rPr>
        <w:t xml:space="preserve"> Interactive conversational interface allowing queries against stored document metadata.</w:t>
      </w:r>
    </w:p>
    <w:p>
      <w:pPr>
        <w:pStyle w:val="ListBullet"/>
        <w:spacing w:after="60"/>
      </w:pPr>
      <w:r>
        <w:rPr>
          <w:b/>
          <w:color w:val="1F2937"/>
        </w:rPr>
        <w:t xml:space="preserve">Visual Filter Chips: </w:t>
      </w:r>
      <w:r>
        <w:rPr>
          <w:color w:val="1F2937"/>
        </w:rPr>
        <w:t xml:space="preserve"> Instant toggle chips for PDFs, Images, Expiring Soon, Added This Week, and Starred files.</w:t>
      </w:r>
    </w:p>
    <w:p>
      <w:pPr>
        <w:keepNext/>
        <w:spacing w:before="240" w:after="80"/>
      </w:pPr>
      <w:r>
        <w:rPr>
          <w:rFonts w:ascii="Arial" w:hAnsi="Arial"/>
          <w:b/>
          <w:color w:val="0D9488"/>
          <w:sz w:val="24"/>
        </w:rPr>
        <w:t>2.4 Actionable Utilities &amp; Security</w:t>
      </w:r>
    </w:p>
    <w:p>
      <w:pPr>
        <w:pStyle w:val="ListBullet"/>
        <w:spacing w:after="60"/>
      </w:pPr>
      <w:r>
        <w:rPr>
          <w:b/>
          <w:color w:val="1F2937"/>
        </w:rPr>
        <w:t xml:space="preserve">Deadline &amp; Expiration Alerts: </w:t>
      </w:r>
      <w:r>
        <w:rPr>
          <w:color w:val="1F2937"/>
        </w:rPr>
        <w:t xml:space="preserve"> Tracks detected expiration dates (warranties, passports, bills) and delivers push/email alerts prior to due dates.</w:t>
      </w:r>
    </w:p>
    <w:p>
      <w:pPr>
        <w:pStyle w:val="ListBullet"/>
        <w:spacing w:after="60"/>
      </w:pPr>
      <w:r>
        <w:rPr>
          <w:b/>
          <w:color w:val="1F2937"/>
        </w:rPr>
        <w:t xml:space="preserve">SHA-256 Deduplication: </w:t>
      </w:r>
      <w:r>
        <w:rPr>
          <w:color w:val="1F2937"/>
        </w:rPr>
        <w:t xml:space="preserve"> Client-side SHA-256 hash checks prevent storing duplicate files.</w:t>
      </w:r>
    </w:p>
    <w:p>
      <w:pPr>
        <w:pStyle w:val="ListBullet"/>
        <w:spacing w:after="60"/>
      </w:pPr>
      <w:r>
        <w:rPr>
          <w:b/>
          <w:color w:val="1F2937"/>
        </w:rPr>
        <w:t xml:space="preserve">Biometric Vault Lock: </w:t>
      </w:r>
      <w:r>
        <w:rPr>
          <w:color w:val="1F2937"/>
        </w:rPr>
        <w:t xml:space="preserve"> Secondary biometric authentication (Face ID / Fingerprint / Passcode) gating sensitive categories (Identity, Financials).</w:t>
      </w:r>
    </w:p>
    <w:p>
      <w:pPr>
        <w:keepNext/>
        <w:spacing w:before="320" w:after="120"/>
      </w:pPr>
      <w:r>
        <w:rPr>
          <w:rFonts w:ascii="Arial" w:hAnsi="Arial"/>
          <w:b/>
          <w:color w:val="1E3A8A"/>
          <w:sz w:val="28"/>
        </w:rPr>
        <w:t>3. System Architecture &amp; Component Design</w:t>
      </w:r>
    </w:p>
    <w:p>
      <w:r>
        <w:t>The system employs an event-driven, decoupled microservices architecture designed to maintain UI responsiveness while offloading heavy OCR and AI parsing to background worker pipelines.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1E3A8A"/>
          </w:tcPr>
          <w:p>
            <w:r>
              <w:rPr>
                <w:b/>
                <w:color w:val="FFFFFF"/>
              </w:rPr>
              <w:t>Layer</w:t>
            </w:r>
          </w:p>
        </w:tc>
        <w:tc>
          <w:tcPr>
            <w:tcW w:type="dxa" w:w="3312"/>
            <w:shd w:val="clear" w:color="auto" w:fill="1E3A8A"/>
          </w:tcPr>
          <w:p>
            <w:r>
              <w:rPr>
                <w:b/>
                <w:color w:val="FFFFFF"/>
              </w:rPr>
              <w:t>Technology</w:t>
            </w:r>
          </w:p>
        </w:tc>
        <w:tc>
          <w:tcPr>
            <w:tcW w:type="dxa" w:w="3312"/>
            <w:shd w:val="clear" w:color="auto" w:fill="1E3A8A"/>
          </w:tcPr>
          <w:p>
            <w:r>
              <w:rPr>
                <w:b/>
                <w:color w:val="FFFFFF"/>
              </w:rPr>
              <w:t>Role &amp; Rationale</w:t>
            </w:r>
          </w:p>
        </w:tc>
      </w:tr>
      <w:tr>
        <w:tc>
          <w:tcPr>
            <w:tcW w:type="dxa" w:w="3312"/>
            <w:shd w:val="clear" w:color="auto" w:fill="F3F4F6"/>
            <w:tcMar>
              <w:top w:w="80" w:type="dxa"/>
              <w:bottom w:w="80" w:type="dxa"/>
              <w:left w:w="100" w:type="dxa"/>
              <w:right w:w="100" w:type="dxa"/>
            </w:tcMar>
          </w:tcPr>
          <w:p>
            <w:r>
              <w:t>Frontend Web</w:t>
            </w:r>
          </w:p>
        </w:tc>
        <w:tc>
          <w:tcPr>
            <w:tcW w:type="dxa" w:w="3312"/>
            <w:shd w:val="clear" w:color="auto" w:fill="F3F4F6"/>
            <w:tcMar>
              <w:top w:w="80" w:type="dxa"/>
              <w:bottom w:w="80" w:type="dxa"/>
              <w:left w:w="100" w:type="dxa"/>
              <w:right w:w="100" w:type="dxa"/>
            </w:tcMar>
          </w:tcPr>
          <w:p>
            <w:r>
              <w:t>Next.js (App Router) + Tailwind CSS</w:t>
            </w:r>
          </w:p>
        </w:tc>
        <w:tc>
          <w:tcPr>
            <w:tcW w:type="dxa" w:w="3312"/>
            <w:shd w:val="clear" w:color="auto" w:fill="F3F4F6"/>
            <w:tcMar>
              <w:top w:w="80" w:type="dxa"/>
              <w:bottom w:w="80" w:type="dxa"/>
              <w:left w:w="100" w:type="dxa"/>
              <w:right w:w="100" w:type="dxa"/>
            </w:tcMar>
          </w:tcPr>
          <w:p>
            <w:r>
              <w:t>Server-Side Rendering, fast page loads, responsive bento-box UI layout.</w:t>
            </w:r>
          </w:p>
        </w:tc>
      </w:tr>
      <w:tr>
        <w:tc>
          <w:tcPr>
            <w:tcW w:type="dxa" w:w="3312"/>
            <w:shd w:val="clear" w:color="auto" w:fill="FFFFFF"/>
            <w:tcMar>
              <w:top w:w="80" w:type="dxa"/>
              <w:bottom w:w="80" w:type="dxa"/>
              <w:left w:w="100" w:type="dxa"/>
              <w:right w:w="100" w:type="dxa"/>
            </w:tcMar>
          </w:tcPr>
          <w:p>
            <w:r>
              <w:t>Mobile Client</w:t>
            </w:r>
          </w:p>
        </w:tc>
        <w:tc>
          <w:tcPr>
            <w:tcW w:type="dxa" w:w="3312"/>
            <w:shd w:val="clear" w:color="auto" w:fill="FFFFFF"/>
            <w:tcMar>
              <w:top w:w="80" w:type="dxa"/>
              <w:bottom w:w="80" w:type="dxa"/>
              <w:left w:w="100" w:type="dxa"/>
              <w:right w:w="100" w:type="dxa"/>
            </w:tcMar>
          </w:tcPr>
          <w:p>
            <w:r>
              <w:t>React Native with Expo (`expo-share-intent`)</w:t>
            </w:r>
          </w:p>
        </w:tc>
        <w:tc>
          <w:tcPr>
            <w:tcW w:type="dxa" w:w="3312"/>
            <w:shd w:val="clear" w:color="auto" w:fill="FFFFFF"/>
            <w:tcMar>
              <w:top w:w="80" w:type="dxa"/>
              <w:bottom w:w="80" w:type="dxa"/>
              <w:left w:w="100" w:type="dxa"/>
              <w:right w:w="100" w:type="dxa"/>
            </w:tcMar>
          </w:tcPr>
          <w:p>
            <w:r>
              <w:t>Cross-platform mobile client sharing UI paradigms and backend contracts with Web.</w:t>
            </w:r>
          </w:p>
        </w:tc>
      </w:tr>
      <w:tr>
        <w:tc>
          <w:tcPr>
            <w:tcW w:type="dxa" w:w="3312"/>
            <w:shd w:val="clear" w:color="auto" w:fill="F3F4F6"/>
            <w:tcMar>
              <w:top w:w="80" w:type="dxa"/>
              <w:bottom w:w="80" w:type="dxa"/>
              <w:left w:w="100" w:type="dxa"/>
              <w:right w:w="100" w:type="dxa"/>
            </w:tcMar>
          </w:tcPr>
          <w:p>
            <w:r>
              <w:t>Backend &amp; DB</w:t>
            </w:r>
          </w:p>
        </w:tc>
        <w:tc>
          <w:tcPr>
            <w:tcW w:type="dxa" w:w="3312"/>
            <w:shd w:val="clear" w:color="auto" w:fill="F3F4F6"/>
            <w:tcMar>
              <w:top w:w="80" w:type="dxa"/>
              <w:bottom w:w="80" w:type="dxa"/>
              <w:left w:w="100" w:type="dxa"/>
              <w:right w:w="100" w:type="dxa"/>
            </w:tcMar>
          </w:tcPr>
          <w:p>
            <w:r>
              <w:t>Supabase (PostgreSQL + pgvector)</w:t>
            </w:r>
          </w:p>
        </w:tc>
        <w:tc>
          <w:tcPr>
            <w:tcW w:type="dxa" w:w="3312"/>
            <w:shd w:val="clear" w:color="auto" w:fill="F3F4F6"/>
            <w:tcMar>
              <w:top w:w="80" w:type="dxa"/>
              <w:bottom w:w="80" w:type="dxa"/>
              <w:left w:w="100" w:type="dxa"/>
              <w:right w:w="100" w:type="dxa"/>
            </w:tcMar>
          </w:tcPr>
          <w:p>
            <w:r>
              <w:t>Relational database, user auth, Row Level Security (RLS), and vector similarity search.</w:t>
            </w:r>
          </w:p>
        </w:tc>
      </w:tr>
      <w:tr>
        <w:tc>
          <w:tcPr>
            <w:tcW w:type="dxa" w:w="3312"/>
            <w:shd w:val="clear" w:color="auto" w:fill="FFFFFF"/>
            <w:tcMar>
              <w:top w:w="80" w:type="dxa"/>
              <w:bottom w:w="80" w:type="dxa"/>
              <w:left w:w="100" w:type="dxa"/>
              <w:right w:w="100" w:type="dxa"/>
            </w:tcMar>
          </w:tcPr>
          <w:p>
            <w:r>
              <w:t>Storage</w:t>
            </w:r>
          </w:p>
        </w:tc>
        <w:tc>
          <w:tcPr>
            <w:tcW w:type="dxa" w:w="3312"/>
            <w:shd w:val="clear" w:color="auto" w:fill="FFFFFF"/>
            <w:tcMar>
              <w:top w:w="80" w:type="dxa"/>
              <w:bottom w:w="80" w:type="dxa"/>
              <w:left w:w="100" w:type="dxa"/>
              <w:right w:w="100" w:type="dxa"/>
            </w:tcMar>
          </w:tcPr>
          <w:p>
            <w:r>
              <w:t>Supabase Storage / AWS S3</w:t>
            </w:r>
          </w:p>
        </w:tc>
        <w:tc>
          <w:tcPr>
            <w:tcW w:type="dxa" w:w="3312"/>
            <w:shd w:val="clear" w:color="auto" w:fill="FFFFFF"/>
            <w:tcMar>
              <w:top w:w="80" w:type="dxa"/>
              <w:bottom w:w="80" w:type="dxa"/>
              <w:left w:w="100" w:type="dxa"/>
              <w:right w:w="100" w:type="dxa"/>
            </w:tcMar>
          </w:tcPr>
          <w:p>
            <w:r>
              <w:t>Secure object store for raw PDF and image document payloads with SHA-256 deduplication.</w:t>
            </w:r>
          </w:p>
        </w:tc>
      </w:tr>
      <w:tr>
        <w:tc>
          <w:tcPr>
            <w:tcW w:type="dxa" w:w="3312"/>
            <w:shd w:val="clear" w:color="auto" w:fill="F3F4F6"/>
            <w:tcMar>
              <w:top w:w="80" w:type="dxa"/>
              <w:bottom w:w="80" w:type="dxa"/>
              <w:left w:w="100" w:type="dxa"/>
              <w:right w:w="100" w:type="dxa"/>
            </w:tcMar>
          </w:tcPr>
          <w:p>
            <w:r>
              <w:t>AI &amp; OCR Engine</w:t>
            </w:r>
          </w:p>
        </w:tc>
        <w:tc>
          <w:tcPr>
            <w:tcW w:type="dxa" w:w="3312"/>
            <w:shd w:val="clear" w:color="auto" w:fill="F3F4F6"/>
            <w:tcMar>
              <w:top w:w="80" w:type="dxa"/>
              <w:bottom w:w="80" w:type="dxa"/>
              <w:left w:w="100" w:type="dxa"/>
              <w:right w:w="100" w:type="dxa"/>
            </w:tcMar>
          </w:tcPr>
          <w:p>
            <w:r>
              <w:t>Google Gemini API / OpenAI API + OCR</w:t>
            </w:r>
          </w:p>
        </w:tc>
        <w:tc>
          <w:tcPr>
            <w:tcW w:type="dxa" w:w="3312"/>
            <w:shd w:val="clear" w:color="auto" w:fill="F3F4F6"/>
            <w:tcMar>
              <w:top w:w="80" w:type="dxa"/>
              <w:bottom w:w="80" w:type="dxa"/>
              <w:left w:w="100" w:type="dxa"/>
              <w:right w:w="100" w:type="dxa"/>
            </w:tcMar>
          </w:tcPr>
          <w:p>
            <w:r>
              <w:t>Strict JSON-mode extraction for structured metadata and vector embedding generation.</w:t>
            </w:r>
          </w:p>
        </w:tc>
      </w:tr>
    </w:tbl>
    <w:p>
      <w:pPr>
        <w:spacing w:after="200"/>
      </w:pPr>
    </w:p>
    <w:p>
      <w:pPr>
        <w:keepNext/>
        <w:spacing w:before="320" w:after="120"/>
      </w:pPr>
      <w:r>
        <w:rPr>
          <w:rFonts w:ascii="Arial" w:hAnsi="Arial"/>
          <w:b/>
          <w:color w:val="1E3A8A"/>
          <w:sz w:val="28"/>
        </w:rPr>
        <w:t>4. Web-to-Mobile Transition &amp; API-First Architecture</w:t>
      </w:r>
    </w:p>
    <w:p>
      <w:r>
        <w:t xml:space="preserve">To ensure zero friction and prevent future refactoring during the mobile app transition, the web application MUST be built as an </w:t>
      </w:r>
      <w:r>
        <w:rPr>
          <w:b/>
        </w:rPr>
        <w:t>API-First System</w:t>
      </w:r>
      <w:r>
        <w:t>. Web pages must never talk directly to raw database queries in page components; all business logic, AI calls, and storage operations are encapsulated inside standalone REST / JSON API routes.</w:t>
      </w:r>
    </w:p>
    <w:p>
      <w:pPr>
        <w:keepNext/>
        <w:spacing w:before="240" w:after="80"/>
      </w:pPr>
      <w:r>
        <w:rPr>
          <w:rFonts w:ascii="Arial" w:hAnsi="Arial"/>
          <w:b/>
          <w:color w:val="0D9488"/>
          <w:sz w:val="24"/>
        </w:rPr>
        <w:t>4.1 Crucial Architectural Rules for Seamless Transition</w:t>
      </w:r>
    </w:p>
    <w:p>
      <w:pPr>
        <w:pStyle w:val="ListBullet"/>
        <w:spacing w:after="60"/>
      </w:pPr>
      <w:r>
        <w:rPr>
          <w:b/>
          <w:color w:val="1F2937"/>
        </w:rPr>
        <w:t xml:space="preserve">Decoupled REST API Endpoints: </w:t>
      </w:r>
      <w:r>
        <w:rPr>
          <w:color w:val="1F2937"/>
        </w:rPr>
        <w:t xml:space="preserve"> The Next.js web application and Supabase backend must expose pure JSON endpoints (`POST /api/documents/upload`, `GET /api/documents`, `POST /api/search`). The React Native mobile app will consume these exact same endpoints without requiring a single backend modification.</w:t>
      </w:r>
    </w:p>
    <w:p>
      <w:pPr>
        <w:pStyle w:val="ListBullet"/>
        <w:spacing w:after="60"/>
      </w:pPr>
      <w:r>
        <w:rPr>
          <w:b/>
          <w:color w:val="1F2937"/>
        </w:rPr>
        <w:t xml:space="preserve">Token-Based Session Protocol: </w:t>
      </w:r>
      <w:r>
        <w:rPr>
          <w:color w:val="1F2937"/>
        </w:rPr>
        <w:t xml:space="preserve"> Authenticate using standard JWT Bearer Tokens (Supabase Auth). Both Web (Cookies/Header) and Mobile (SecureStore Authorization Header) must send tokens identically so security rules (RLS) work seamlessly.</w:t>
      </w:r>
    </w:p>
    <w:p>
      <w:pPr>
        <w:pStyle w:val="ListBullet"/>
        <w:spacing w:after="60"/>
      </w:pPr>
      <w:r>
        <w:rPr>
          <w:b/>
          <w:color w:val="1F2937"/>
        </w:rPr>
        <w:t xml:space="preserve">Asynchronous Offload Pipeline: </w:t>
      </w:r>
      <w:r>
        <w:rPr>
          <w:color w:val="1F2937"/>
        </w:rPr>
        <w:t xml:space="preserve"> Mobile OS Share Extensions (iOS/Android) have strict memory limits (~120MB). The backend must accept lightweight multipart file uploads, return a `job_id` instantly, and process heavy OCR/AI jobs asynchronously. Never force the client to wait on synchronous parsing.</w:t>
      </w:r>
    </w:p>
    <w:p>
      <w:pPr>
        <w:pStyle w:val="ListBullet"/>
        <w:spacing w:after="60"/>
      </w:pPr>
      <w:r>
        <w:rPr>
          <w:b/>
          <w:color w:val="1F2937"/>
        </w:rPr>
        <w:t xml:space="preserve">Database Level RLS Rules: </w:t>
      </w:r>
      <w:r>
        <w:rPr>
          <w:color w:val="1F2937"/>
        </w:rPr>
        <w:t xml:space="preserve"> All database tables utilize Supabase Row Level Security (RLS). Database permissions are enforced at the PostgreSQL layer, preventing unauthorized access regardless of whether requests originate from a browser, iOS device, or Android app.</w:t>
      </w:r>
    </w:p>
    <w:p>
      <w:pPr>
        <w:pStyle w:val="ListBullet"/>
        <w:spacing w:after="60"/>
      </w:pPr>
      <w:r>
        <w:rPr>
          <w:b/>
          <w:color w:val="1F2937"/>
        </w:rPr>
        <w:t xml:space="preserve">Paginated Data Payloads: </w:t>
      </w:r>
      <w:r>
        <w:rPr>
          <w:color w:val="1F2937"/>
        </w:rPr>
        <w:t xml:space="preserve"> API responses must implement cursor-based pagination (`?page=1&amp;limit=20`) to prevent low-memory mobile devices from crashing when rendering large document libraries.</w:t>
      </w:r>
    </w:p>
    <w:p>
      <w:pPr>
        <w:keepNext/>
        <w:spacing w:before="240" w:after="80"/>
      </w:pPr>
      <w:r>
        <w:rPr>
          <w:rFonts w:ascii="Arial" w:hAnsi="Arial"/>
          <w:b/>
          <w:color w:val="0D9488"/>
          <w:sz w:val="24"/>
        </w:rPr>
        <w:t>4.2 System Component Transition Matrix</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D9488"/>
          </w:tcPr>
          <w:p>
            <w:r>
              <w:rPr>
                <w:b/>
                <w:color w:val="FFFFFF"/>
              </w:rPr>
              <w:t>System Component</w:t>
            </w:r>
          </w:p>
        </w:tc>
        <w:tc>
          <w:tcPr>
            <w:tcW w:type="dxa" w:w="3312"/>
            <w:shd w:val="clear" w:color="auto" w:fill="0D9488"/>
          </w:tcPr>
          <w:p>
            <w:r>
              <w:rPr>
                <w:b/>
                <w:color w:val="FFFFFF"/>
              </w:rPr>
              <w:t>Web Implementation (Phase 1)</w:t>
            </w:r>
          </w:p>
        </w:tc>
        <w:tc>
          <w:tcPr>
            <w:tcW w:type="dxa" w:w="3312"/>
            <w:shd w:val="clear" w:color="auto" w:fill="0D9488"/>
          </w:tcPr>
          <w:p>
            <w:r>
              <w:rPr>
                <w:b/>
                <w:color w:val="FFFFFF"/>
              </w:rPr>
              <w:t>Mobile Native Adaptation (Phase 2)</w:t>
            </w:r>
          </w:p>
        </w:tc>
      </w:tr>
      <w:tr>
        <w:tc>
          <w:tcPr>
            <w:tcW w:type="dxa" w:w="3312"/>
            <w:shd w:val="clear" w:color="auto" w:fill="F3F4F6"/>
            <w:tcMar>
              <w:top w:w="80" w:type="dxa"/>
              <w:bottom w:w="80" w:type="dxa"/>
              <w:left w:w="100" w:type="dxa"/>
              <w:right w:w="100" w:type="dxa"/>
            </w:tcMar>
          </w:tcPr>
          <w:p>
            <w:r>
              <w:t>File Ingestion</w:t>
            </w:r>
          </w:p>
        </w:tc>
        <w:tc>
          <w:tcPr>
            <w:tcW w:type="dxa" w:w="3312"/>
            <w:shd w:val="clear" w:color="auto" w:fill="F3F4F6"/>
            <w:tcMar>
              <w:top w:w="80" w:type="dxa"/>
              <w:bottom w:w="80" w:type="dxa"/>
              <w:left w:w="100" w:type="dxa"/>
              <w:right w:w="100" w:type="dxa"/>
            </w:tcMar>
          </w:tcPr>
          <w:p>
            <w:r>
              <w:t>Drag-and-Drop Dropzone &amp; File Input</w:t>
            </w:r>
          </w:p>
        </w:tc>
        <w:tc>
          <w:tcPr>
            <w:tcW w:type="dxa" w:w="3312"/>
            <w:shd w:val="clear" w:color="auto" w:fill="F3F4F6"/>
            <w:tcMar>
              <w:top w:w="80" w:type="dxa"/>
              <w:bottom w:w="80" w:type="dxa"/>
              <w:left w:w="100" w:type="dxa"/>
              <w:right w:w="100" w:type="dxa"/>
            </w:tcMar>
          </w:tcPr>
          <w:p>
            <w:r>
              <w:t>Native OS Share Sheet Target (`expo-share-intent`) + Camera Scan</w:t>
            </w:r>
          </w:p>
        </w:tc>
      </w:tr>
      <w:tr>
        <w:tc>
          <w:tcPr>
            <w:tcW w:type="dxa" w:w="3312"/>
            <w:shd w:val="clear" w:color="auto" w:fill="FFFFFF"/>
            <w:tcMar>
              <w:top w:w="80" w:type="dxa"/>
              <w:bottom w:w="80" w:type="dxa"/>
              <w:left w:w="100" w:type="dxa"/>
              <w:right w:w="100" w:type="dxa"/>
            </w:tcMar>
          </w:tcPr>
          <w:p>
            <w:r>
              <w:t>UI Layer &amp; Styling</w:t>
            </w:r>
          </w:p>
        </w:tc>
        <w:tc>
          <w:tcPr>
            <w:tcW w:type="dxa" w:w="3312"/>
            <w:shd w:val="clear" w:color="auto" w:fill="FFFFFF"/>
            <w:tcMar>
              <w:top w:w="80" w:type="dxa"/>
              <w:bottom w:w="80" w:type="dxa"/>
              <w:left w:w="100" w:type="dxa"/>
              <w:right w:w="100" w:type="dxa"/>
            </w:tcMar>
          </w:tcPr>
          <w:p>
            <w:r>
              <w:t>React DOM (`&lt;div&gt;`, `&lt;button&gt;`) + Tailwind CSS</w:t>
            </w:r>
          </w:p>
        </w:tc>
        <w:tc>
          <w:tcPr>
            <w:tcW w:type="dxa" w:w="3312"/>
            <w:shd w:val="clear" w:color="auto" w:fill="FFFFFF"/>
            <w:tcMar>
              <w:top w:w="80" w:type="dxa"/>
              <w:bottom w:w="80" w:type="dxa"/>
              <w:left w:w="100" w:type="dxa"/>
              <w:right w:w="100" w:type="dxa"/>
            </w:tcMar>
          </w:tcPr>
          <w:p>
            <w:r>
              <w:t>React Native Primitives (`&lt;View&gt;`, `&lt;Text&gt;`) + Yoga Flexbox</w:t>
            </w:r>
          </w:p>
        </w:tc>
      </w:tr>
      <w:tr>
        <w:tc>
          <w:tcPr>
            <w:tcW w:type="dxa" w:w="3312"/>
            <w:shd w:val="clear" w:color="auto" w:fill="F3F4F6"/>
            <w:tcMar>
              <w:top w:w="80" w:type="dxa"/>
              <w:bottom w:w="80" w:type="dxa"/>
              <w:left w:w="100" w:type="dxa"/>
              <w:right w:w="100" w:type="dxa"/>
            </w:tcMar>
          </w:tcPr>
          <w:p>
            <w:r>
              <w:t>Auth &amp; Token Storage</w:t>
            </w:r>
          </w:p>
        </w:tc>
        <w:tc>
          <w:tcPr>
            <w:tcW w:type="dxa" w:w="3312"/>
            <w:shd w:val="clear" w:color="auto" w:fill="F3F4F6"/>
            <w:tcMar>
              <w:top w:w="80" w:type="dxa"/>
              <w:bottom w:w="80" w:type="dxa"/>
              <w:left w:w="100" w:type="dxa"/>
              <w:right w:w="100" w:type="dxa"/>
            </w:tcMar>
          </w:tcPr>
          <w:p>
            <w:r>
              <w:t>Supabase SSR Client + HTTP-only Cookies</w:t>
            </w:r>
          </w:p>
        </w:tc>
        <w:tc>
          <w:tcPr>
            <w:tcW w:type="dxa" w:w="3312"/>
            <w:shd w:val="clear" w:color="auto" w:fill="F3F4F6"/>
            <w:tcMar>
              <w:top w:w="80" w:type="dxa"/>
              <w:bottom w:w="80" w:type="dxa"/>
              <w:left w:w="100" w:type="dxa"/>
              <w:right w:w="100" w:type="dxa"/>
            </w:tcMar>
          </w:tcPr>
          <w:p>
            <w:r>
              <w:t>Supabase JS Client + `expo-secure-store` Bearer Headers</w:t>
            </w:r>
          </w:p>
        </w:tc>
      </w:tr>
      <w:tr>
        <w:tc>
          <w:tcPr>
            <w:tcW w:type="dxa" w:w="3312"/>
            <w:shd w:val="clear" w:color="auto" w:fill="FFFFFF"/>
            <w:tcMar>
              <w:top w:w="80" w:type="dxa"/>
              <w:bottom w:w="80" w:type="dxa"/>
              <w:left w:w="100" w:type="dxa"/>
              <w:right w:w="100" w:type="dxa"/>
            </w:tcMar>
          </w:tcPr>
          <w:p>
            <w:r>
              <w:t>API &amp; Backend Logic</w:t>
            </w:r>
          </w:p>
        </w:tc>
        <w:tc>
          <w:tcPr>
            <w:tcW w:type="dxa" w:w="3312"/>
            <w:shd w:val="clear" w:color="auto" w:fill="FFFFFF"/>
            <w:tcMar>
              <w:top w:w="80" w:type="dxa"/>
              <w:bottom w:w="80" w:type="dxa"/>
              <w:left w:w="100" w:type="dxa"/>
              <w:right w:w="100" w:type="dxa"/>
            </w:tcMar>
          </w:tcPr>
          <w:p>
            <w:r>
              <w:t>Next.js Route Handlers (`/api/*`) returning JSON</w:t>
            </w:r>
          </w:p>
        </w:tc>
        <w:tc>
          <w:tcPr>
            <w:tcW w:type="dxa" w:w="3312"/>
            <w:shd w:val="clear" w:color="auto" w:fill="FFFFFF"/>
            <w:tcMar>
              <w:top w:w="80" w:type="dxa"/>
              <w:bottom w:w="80" w:type="dxa"/>
              <w:left w:w="100" w:type="dxa"/>
              <w:right w:w="100" w:type="dxa"/>
            </w:tcMar>
          </w:tcPr>
          <w:p>
            <w:r>
              <w:t>Direct fetch to `/api/*` endpoints (Shared Backend verbatim)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