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600"/>
              <w:left w:type="dxa" w:w="400"/>
              <w:bottom w:type="dxa" w:w="600"/>
              <w:right w:type="dxa" w:w="400"/>
            </w:tcMar>
          </w:tcPr>
          <w:p>
            <w:pPr>
              <w:spacing w:after="100"/>
              <w:jc w:val="center"/>
            </w:pPr>
            <w:r>
              <w:rPr>
                <w:rFonts w:ascii="Arial" w:cs="Arial" w:eastAsia="Arial" w:hAnsi="Arial"/>
                <w:b/>
                <w:bCs/>
                <w:color w:val="FFFFFF"/>
                <w:sz w:val="64"/>
                <w:szCs w:val="64"/>
              </w:rPr>
              <w:t xml:space="preserve">SmartEnergy AI</w:t>
            </w:r>
          </w:p>
          <w:p>
            <w:pPr>
              <w:spacing w:after="60"/>
              <w:jc w:val="center"/>
            </w:pPr>
            <w:r>
              <w:rPr>
                <w:rFonts w:ascii="Arial" w:cs="Arial" w:eastAsia="Arial" w:hAnsi="Arial"/>
                <w:i/>
                <w:iCs/>
                <w:color w:val="52B788"/>
                <w:sz w:val="28"/>
                <w:szCs w:val="28"/>
              </w:rPr>
              <w:t xml:space="preserve">Energy Consumption Forecasting &amp; Carbon Footprint Advisor</w:t>
            </w:r>
          </w:p>
          <w:p>
            <w:pPr>
              <w:spacing w:after="0"/>
              <w:jc w:val="center"/>
            </w:pPr>
            <w:r>
              <w:rPr>
                <w:rFonts w:ascii="Arial" w:cs="Arial" w:eastAsia="Arial" w:hAnsi="Arial"/>
                <w:i/>
                <w:iCs/>
                <w:color w:val="52B788"/>
                <w:sz w:val="24"/>
                <w:szCs w:val="24"/>
              </w:rPr>
              <w:t xml:space="preserve">for Small Businesses (SMEs) and Campuses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6A4F"/>
                <w:sz w:val="20"/>
                <w:szCs w:val="20"/>
              </w:rPr>
              <w:t xml:space="preserve">SDG Focus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SDG 7 – Affordable &amp; Clean Energy  |  SDG 13 – Climate Action</w:t>
            </w:r>
          </w:p>
        </w:tc>
      </w:tr>
      <w:tr>
        <w:tc>
          <w:tcPr>
            <w:tcW w:type="dxa" w:w="220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bCs/>
                <w:color w:val="2D6A4F"/>
                <w:sz w:val="20"/>
                <w:szCs w:val="20"/>
              </w:rPr>
              <w:t xml:space="preserve">Programme</w:t>
            </w:r>
          </w:p>
        </w:tc>
        <w:tc>
          <w:tcPr>
            <w:tcW w:type="dxa" w:w="716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1M1B AI for Sustainability Virtual Internship · IBM SkillsBuild &amp; AICTE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6A4F"/>
                <w:sz w:val="20"/>
                <w:szCs w:val="20"/>
              </w:rPr>
              <w:t xml:space="preserve">Category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AI for Social Good – Environment &amp; Clean Energy</w:t>
            </w:r>
          </w:p>
        </w:tc>
      </w:tr>
      <w:tr>
        <w:tc>
          <w:tcPr>
            <w:tcW w:type="dxa" w:w="220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bCs/>
                <w:color w:val="2D6A4F"/>
                <w:sz w:val="20"/>
                <w:szCs w:val="20"/>
              </w:rPr>
              <w:t xml:space="preserve">Target Users</w:t>
            </w:r>
          </w:p>
        </w:tc>
        <w:tc>
          <w:tcPr>
            <w:tcW w:type="dxa" w:w="716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SME Owners, Campus Managers, Energy Auditors, Policy Planners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6A4F"/>
                <w:sz w:val="20"/>
                <w:szCs w:val="20"/>
              </w:rPr>
              <w:t xml:space="preserve">AI 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IBM Granite LLM, RAG Pipeline, Agentic Workflow, Prompt Engineering</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jc w:val="center"/>
      </w:pPr>
      <w:r>
        <w:rPr>
          <w:rFonts w:ascii="Arial" w:cs="Arial" w:eastAsia="Arial" w:hAnsi="Arial"/>
          <w:color w:val="64748B"/>
          <w:sz w:val="20"/>
          <w:szCs w:val="20"/>
        </w:rPr>
        <w:t xml:space="preserve">Submitted under: 1M1B AI for Sustainability Virtual Internship</w:t>
      </w:r>
    </w:p>
    <w:p>
      <w:pPr>
        <w:jc w:val="center"/>
      </w:pPr>
      <w:r>
        <w:rPr>
          <w:rFonts w:ascii="Arial" w:cs="Arial" w:eastAsia="Arial" w:hAnsi="Arial"/>
          <w:color w:val="64748B"/>
          <w:sz w:val="20"/>
          <w:szCs w:val="20"/>
        </w:rPr>
        <w:t xml:space="preserve">In collaboration with IBM SkillsBuild &amp; AICTE</w:t>
      </w:r>
    </w:p>
    <w:p>
      <w:r>
        <w:br w:type="page"/>
      </w:r>
    </w:p>
    <w:p>
      <w:pPr>
        <w:pStyle w:val="Heading1"/>
        <w:pBdr>
          <w:bottom w:val="single" w:color="52B788" w:sz="6" w:space="4"/>
        </w:pBdr>
        <w:spacing w:after="120" w:before="360"/>
      </w:pPr>
      <w:r>
        <w:rPr>
          <w:rFonts w:ascii="Arial" w:cs="Arial" w:eastAsia="Arial" w:hAnsi="Arial"/>
          <w:b/>
          <w:bCs/>
          <w:color w:val="1A3C34"/>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1. Executive Summary</w:t>
            </w:r>
          </w:p>
        </w:tc>
      </w:tr>
    </w:tbl>
    <w:p>
      <w:pPr>
        <w:spacing w:after="40" w:before="40"/>
      </w:pPr>
      <w:r>
        <w:rPr>
          <w:rFonts w:ascii="Arial" w:cs="Arial" w:eastAsia="Arial" w:hAnsi="Arial"/>
          <w:sz w:val="22"/>
          <w:szCs w:val="22"/>
        </w:rPr>
        <w:t xml:space="preserve"/>
      </w:r>
    </w:p>
    <w:p>
      <w:pPr>
        <w:spacing w:after="80" w:before="80" w:line="360" w:lineRule="auto"/>
        <w:jc w:val="left"/>
      </w:pPr>
      <w:r>
        <w:rPr>
          <w:rFonts w:ascii="Arial" w:cs="Arial" w:eastAsia="Arial" w:hAnsi="Arial"/>
          <w:b w:val="false"/>
          <w:bCs w:val="false"/>
          <w:i w:val="false"/>
          <w:iCs w:val="false"/>
          <w:color w:val="1E293B"/>
          <w:sz w:val="22"/>
          <w:szCs w:val="22"/>
        </w:rPr>
        <w:t xml:space="preserve">SmartEnergy AI is an intelligent, AI-powered platform designed to address one of the most critical global challenges: inefficient energy consumption and its contribution to climate change. Developed as part of the 1M1B AI for Sustainability Virtual Internship (in collaboration with IBM SkillsBuild and AICTE), this project directly targets UN Sustainable Development Goal 7 (Affordable and Clean Energy) and SDG 13 (Climate Action).</w:t>
      </w:r>
    </w:p>
    <w:p>
      <w:pPr>
        <w:spacing w:after="40" w:before="40"/>
      </w:pPr>
      <w:r>
        <w:rPr>
          <w:rFonts w:ascii="Arial" w:cs="Arial" w:eastAsia="Arial" w:hAnsi="Arial"/>
          <w:sz w:val="22"/>
          <w:szCs w:val="22"/>
        </w:rPr>
        <w:t xml:space="preserve"/>
      </w:r>
    </w:p>
    <w:p>
      <w:pPr>
        <w:spacing w:after="80" w:before="80" w:line="360" w:lineRule="auto"/>
        <w:jc w:val="left"/>
      </w:pPr>
      <w:r>
        <w:rPr>
          <w:rFonts w:ascii="Arial" w:cs="Arial" w:eastAsia="Arial" w:hAnsi="Arial"/>
          <w:b w:val="false"/>
          <w:bCs w:val="false"/>
          <w:i w:val="false"/>
          <w:iCs w:val="false"/>
          <w:color w:val="1E293B"/>
          <w:sz w:val="22"/>
          <w:szCs w:val="22"/>
        </w:rPr>
        <w:t xml:space="preserve">The platform combines three core AI capabilities:</w:t>
      </w:r>
    </w:p>
    <w:p>
      <w:pPr>
        <w:pStyle w:val="ListParagraph"/>
        <w:numPr>
          <w:ilvl w:val="0"/>
          <w:numId w:val="2"/>
        </w:numPr>
        <w:spacing w:after="60" w:before="60"/>
      </w:pPr>
      <w:r>
        <w:rPr>
          <w:rFonts w:ascii="Arial" w:cs="Arial" w:eastAsia="Arial" w:hAnsi="Arial"/>
          <w:color w:val="1E293B"/>
          <w:sz w:val="22"/>
          <w:szCs w:val="22"/>
        </w:rPr>
        <w:t xml:space="preserve">Energy Consumption Forecasting — predicts 7-day energy demand using IBM Granite LLM and time-series prompt engineering</w:t>
      </w:r>
    </w:p>
    <w:p>
      <w:pPr>
        <w:pStyle w:val="ListParagraph"/>
        <w:numPr>
          <w:ilvl w:val="0"/>
          <w:numId w:val="2"/>
        </w:numPr>
        <w:spacing w:after="60" w:before="60"/>
      </w:pPr>
      <w:r>
        <w:rPr>
          <w:rFonts w:ascii="Arial" w:cs="Arial" w:eastAsia="Arial" w:hAnsi="Arial"/>
          <w:color w:val="1E293B"/>
          <w:sz w:val="22"/>
          <w:szCs w:val="22"/>
        </w:rPr>
        <w:t xml:space="preserve">Carbon Footprint Estimation — converts kWh consumption data into CO₂ emissions using regional grid emission factors</w:t>
      </w:r>
    </w:p>
    <w:p>
      <w:pPr>
        <w:pStyle w:val="ListParagraph"/>
        <w:numPr>
          <w:ilvl w:val="0"/>
          <w:numId w:val="2"/>
        </w:numPr>
        <w:spacing w:after="60" w:before="60"/>
      </w:pPr>
      <w:r>
        <w:rPr>
          <w:rFonts w:ascii="Arial" w:cs="Arial" w:eastAsia="Arial" w:hAnsi="Arial"/>
          <w:color w:val="1E293B"/>
          <w:sz w:val="22"/>
          <w:szCs w:val="22"/>
        </w:rPr>
        <w:t xml:space="preserve">AI Advisory Chatbot — uses a Retrieval-Augmented Generation (RAG) pipeline to answer 'what-if' questions and provide personalised clean energy recommendations</w:t>
      </w:r>
    </w:p>
    <w:p>
      <w:pPr>
        <w:spacing w:after="40" w:before="40"/>
      </w:pPr>
      <w:r>
        <w:rPr>
          <w:rFonts w:ascii="Arial" w:cs="Arial" w:eastAsia="Arial" w:hAnsi="Arial"/>
          <w:sz w:val="22"/>
          <w:szCs w:val="22"/>
        </w:rPr>
        <w:t xml:space="preserve"/>
      </w:r>
    </w:p>
    <w:p>
      <w:pPr>
        <w:spacing w:after="80" w:before="80" w:line="360" w:lineRule="auto"/>
        <w:jc w:val="left"/>
      </w:pPr>
      <w:r>
        <w:rPr>
          <w:rFonts w:ascii="Arial" w:cs="Arial" w:eastAsia="Arial" w:hAnsi="Arial"/>
          <w:b w:val="false"/>
          <w:bCs w:val="false"/>
          <w:i w:val="false"/>
          <w:iCs w:val="false"/>
          <w:color w:val="1E293B"/>
          <w:sz w:val="22"/>
          <w:szCs w:val="22"/>
        </w:rPr>
        <w:t xml:space="preserve">When deployed, SmartEnergy AI is projected to deliver a 25% reduction in energy costs, a 30% decline in CO₂ emissions within the first year, and 10x faster sustainability reporting — all with zero hardware investment required (cloud-native architecture).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2. Problem Statement</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2.1 How Might We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2B788" w:val="clear"/>
            <w:tcMar>
              <w:top w:type="dxa" w:w="100"/>
              <w:left w:type="dxa" w:w="100"/>
              <w:bottom w:type="dxa" w:w="100"/>
              <w:right w:type="dxa" w:w="100"/>
            </w:tcMar>
          </w:tcPr>
          <w:p/>
        </w:tc>
        <w:tc>
          <w:tcPr>
            <w:tcW w:type="dxa" w:w="8960"/>
            <w:tcBorders>
              <w:top w:val="none" w:color="FFFFFF" w:sz="0"/>
              <w:left w:val="none" w:color="FFFFFF" w:sz="0"/>
              <w:bottom w:val="none" w:color="FFFFFF" w:sz="0"/>
              <w:right w:val="none" w:color="FFFFFF" w:sz="0"/>
            </w:tcBorders>
            <w:shd w:fill="F0F4F0" w:val="clear"/>
            <w:tcMar>
              <w:top w:type="dxa" w:w="100"/>
              <w:left w:type="dxa" w:w="200"/>
              <w:bottom w:type="dxa" w:w="100"/>
              <w:right w:type="dxa" w:w="200"/>
            </w:tcMar>
          </w:tcPr>
          <w:p>
            <w:r>
              <w:rPr>
                <w:rFonts w:ascii="Arial" w:cs="Arial" w:eastAsia="Arial" w:hAnsi="Arial"/>
                <w:b/>
                <w:bCs/>
                <w:color w:val="2D6A4F"/>
                <w:sz w:val="22"/>
                <w:szCs w:val="22"/>
              </w:rPr>
              <w:t xml:space="preserve">HMW: </w:t>
            </w:r>
            <w:r>
              <w:rPr>
                <w:rFonts w:ascii="Arial" w:cs="Arial" w:eastAsia="Arial" w:hAnsi="Arial"/>
                <w:color w:val="1E293B"/>
                <w:sz w:val="22"/>
                <w:szCs w:val="22"/>
              </w:rPr>
              <w:t xml:space="preserve">How might we use AI to forecast energy consumption and estimate carbon footprint so that small businesses and campuses can reduce costs, shift to clean energy, and become more sustainable?</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2.2 The Challenge</w:t>
      </w:r>
    </w:p>
    <w:p>
      <w:pPr>
        <w:spacing w:after="80" w:before="80" w:line="360" w:lineRule="auto"/>
        <w:jc w:val="left"/>
      </w:pPr>
      <w:r>
        <w:rPr>
          <w:rFonts w:ascii="Arial" w:cs="Arial" w:eastAsia="Arial" w:hAnsi="Arial"/>
          <w:b w:val="false"/>
          <w:bCs w:val="false"/>
          <w:i w:val="false"/>
          <w:iCs w:val="false"/>
          <w:color w:val="1E293B"/>
          <w:sz w:val="22"/>
          <w:szCs w:val="22"/>
        </w:rPr>
        <w:t xml:space="preserve">Small and Medium Enterprises (SMEs) and educational campuses across India and the developing world face three critical but interconnected energy challenges:</w:t>
      </w:r>
    </w:p>
    <w:p>
      <w:pPr>
        <w:spacing w:after="40" w:before="40"/>
      </w:pPr>
      <w:r>
        <w:rPr>
          <w:rFonts w:ascii="Arial" w:cs="Arial" w:eastAsia="Arial" w:hAnsi="Arial"/>
          <w:sz w:val="22"/>
          <w:szCs w:val="22"/>
        </w:rPr>
        <w:t xml:space="preserve"/>
      </w:r>
    </w:p>
    <w:p>
      <w:pPr>
        <w:pStyle w:val="Heading3"/>
        <w:spacing w:after="80" w:before="180"/>
      </w:pPr>
      <w:r>
        <w:rPr>
          <w:rFonts w:ascii="Arial" w:cs="Arial" w:eastAsia="Arial" w:hAnsi="Arial"/>
          <w:b/>
          <w:bCs/>
          <w:color w:val="64748B"/>
          <w:sz w:val="24"/>
          <w:szCs w:val="24"/>
        </w:rPr>
        <w:t xml:space="preserve">Energy Waste</w:t>
      </w:r>
    </w:p>
    <w:p>
      <w:pPr>
        <w:spacing w:after="80" w:before="80" w:line="360" w:lineRule="auto"/>
        <w:jc w:val="left"/>
      </w:pPr>
      <w:r>
        <w:rPr>
          <w:rFonts w:ascii="Arial" w:cs="Arial" w:eastAsia="Arial" w:hAnsi="Arial"/>
          <w:b w:val="false"/>
          <w:bCs w:val="false"/>
          <w:i w:val="false"/>
          <w:iCs w:val="false"/>
          <w:color w:val="1E293B"/>
          <w:sz w:val="22"/>
          <w:szCs w:val="22"/>
        </w:rPr>
        <w:t xml:space="preserve">SMEs and campuses have no real-time visibility into peak usage hours, equipment energy profiles, or seasonal demand fluctuations. This lack of data leads to up to 30% avoidable energy waste, directly inflating operational costs and carbon footprints.</w:t>
      </w:r>
    </w:p>
    <w:p>
      <w:pPr>
        <w:pStyle w:val="Heading3"/>
        <w:spacing w:after="80" w:before="180"/>
      </w:pPr>
      <w:r>
        <w:rPr>
          <w:rFonts w:ascii="Arial" w:cs="Arial" w:eastAsia="Arial" w:hAnsi="Arial"/>
          <w:b/>
          <w:bCs/>
          <w:color w:val="64748B"/>
          <w:sz w:val="24"/>
          <w:szCs w:val="24"/>
        </w:rPr>
        <w:t xml:space="preserve">Hidden Carbon Costs</w:t>
      </w:r>
    </w:p>
    <w:p>
      <w:pPr>
        <w:spacing w:after="80" w:before="80" w:line="360" w:lineRule="auto"/>
        <w:jc w:val="left"/>
      </w:pPr>
      <w:r>
        <w:rPr>
          <w:rFonts w:ascii="Arial" w:cs="Arial" w:eastAsia="Arial" w:hAnsi="Arial"/>
          <w:b w:val="false"/>
          <w:bCs w:val="false"/>
          <w:i w:val="false"/>
          <w:iCs w:val="false"/>
          <w:color w:val="1E293B"/>
          <w:sz w:val="22"/>
          <w:szCs w:val="22"/>
        </w:rPr>
        <w:t xml:space="preserve">Organisations rarely know their energy-linked CO₂ output. Without visibility into their emissions, setting or tracking net-zero goals is effectively impossible. The energy sector contributes ~73% of global CO₂ emissions, and most of this originates from commercial and industrial consumers who lack measurement tools.</w:t>
      </w:r>
    </w:p>
    <w:p>
      <w:pPr>
        <w:pStyle w:val="Heading3"/>
        <w:spacing w:after="80" w:before="180"/>
      </w:pPr>
      <w:r>
        <w:rPr>
          <w:rFonts w:ascii="Arial" w:cs="Arial" w:eastAsia="Arial" w:hAnsi="Arial"/>
          <w:b/>
          <w:bCs/>
          <w:color w:val="64748B"/>
          <w:sz w:val="24"/>
          <w:szCs w:val="24"/>
        </w:rPr>
        <w:t xml:space="preserve">No AI-Powered Decision Support</w:t>
      </w:r>
    </w:p>
    <w:p>
      <w:pPr>
        <w:spacing w:after="80" w:before="80" w:line="360" w:lineRule="auto"/>
        <w:jc w:val="left"/>
      </w:pPr>
      <w:r>
        <w:rPr>
          <w:rFonts w:ascii="Arial" w:cs="Arial" w:eastAsia="Arial" w:hAnsi="Arial"/>
          <w:b w:val="false"/>
          <w:bCs w:val="false"/>
          <w:i w:val="false"/>
          <w:iCs w:val="false"/>
          <w:color w:val="1E293B"/>
          <w:sz w:val="22"/>
          <w:szCs w:val="22"/>
        </w:rPr>
        <w:t xml:space="preserve">Building managers and SME owners lack tools to simulate 'what-if' scenarios — for example, the impact of shifting to solar energy or adjusting HVAC scheduling. Decisions are made manually, often based on guesswork rather than data.</w:t>
      </w:r>
    </w:p>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2.3 Who Is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User Group</w:t>
            </w:r>
          </w:p>
        </w:tc>
        <w:tc>
          <w:tcPr>
            <w:tcW w:type="dxa" w:w="351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Pain Point</w:t>
            </w:r>
          </w:p>
        </w:tc>
        <w:tc>
          <w:tcPr>
            <w:tcW w:type="dxa" w:w="351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AI Solution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SME Owners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visibility into peak hours or monthly spend</w:t>
            </w:r>
          </w:p>
        </w:tc>
        <w:tc>
          <w:tcPr>
            <w:tcW w:type="dxa" w:w="351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Forecast + cost-saving advisor</w:t>
            </w:r>
          </w:p>
        </w:tc>
      </w:tr>
      <w:tr>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Campus Managers</w:t>
            </w:r>
          </w:p>
        </w:tc>
        <w:tc>
          <w:tcPr>
            <w:tcW w:type="dxa" w:w="351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Manual sustainability reporting is slow</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Automated CO₂ report generation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Energy Auditors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benchmarking data for clients</w:t>
            </w:r>
          </w:p>
        </w:tc>
        <w:tc>
          <w:tcPr>
            <w:tcW w:type="dxa" w:w="351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Benchmark + anomaly detection</w:t>
            </w:r>
          </w:p>
        </w:tc>
      </w:tr>
      <w:tr>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Planners</w:t>
            </w:r>
          </w:p>
        </w:tc>
        <w:tc>
          <w:tcPr>
            <w:tcW w:type="dxa" w:w="351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Lack city-level energy usage data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Aggregated SDG compliance dashboard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3. SDG Alignment</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3.1 Primary: SDG 7 — Affordable and Clean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Target</w:t>
            </w:r>
          </w:p>
        </w:tc>
        <w:tc>
          <w:tcPr>
            <w:tcW w:type="dxa" w:w="378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How SmartEnergy AI Addresses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SDG 7.2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Increase share of renewable energy in the global mix</w:t>
            </w:r>
          </w:p>
        </w:tc>
        <w:tc>
          <w:tcPr>
            <w:tcW w:type="dxa" w:w="378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Solar calculator shows exact kWh offset and CO₂ savings from solar adoption</w:t>
            </w:r>
          </w:p>
        </w:tc>
      </w:tr>
      <w:tr>
        <w:tc>
          <w:tcPr>
            <w:tcW w:type="dxa" w:w="180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SDG 7.3</w:t>
            </w:r>
          </w:p>
        </w:tc>
        <w:tc>
          <w:tcPr>
            <w:tcW w:type="dxa" w:w="378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Double the rate of improvement in energy efficiency globally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7-day forecast + efficiency rating (A–D) drives behaviour change and equipment optimisation</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3.2 Secondary: SDG 13 — Climate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Target</w:t>
            </w:r>
          </w:p>
        </w:tc>
        <w:tc>
          <w:tcPr>
            <w:tcW w:type="dxa" w:w="378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How SmartEnergy AI Addresses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SDG 13.2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Integrate climate change measures into national policies and planning</w:t>
            </w:r>
          </w:p>
        </w:tc>
        <w:tc>
          <w:tcPr>
            <w:tcW w:type="dxa" w:w="378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Carbon tracker + roadmap provides evidence for local government planning</w:t>
            </w:r>
          </w:p>
        </w:tc>
      </w:tr>
      <w:tr>
        <w:tc>
          <w:tcPr>
            <w:tcW w:type="dxa" w:w="180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SDG 13.3</w:t>
            </w:r>
          </w:p>
        </w:tc>
        <w:tc>
          <w:tcPr>
            <w:tcW w:type="dxa" w:w="378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Improve climate-change education, awareness, and capacity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AI chatbot educates users on emission factors, subsidies, and net-zero pathways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2B788" w:val="clear"/>
            <w:tcMar>
              <w:top w:type="dxa" w:w="100"/>
              <w:left w:type="dxa" w:w="100"/>
              <w:bottom w:type="dxa" w:w="100"/>
              <w:right w:type="dxa" w:w="100"/>
            </w:tcMar>
          </w:tcPr>
          <w:p/>
        </w:tc>
        <w:tc>
          <w:tcPr>
            <w:tcW w:type="dxa" w:w="8960"/>
            <w:tcBorders>
              <w:top w:val="none" w:color="FFFFFF" w:sz="0"/>
              <w:left w:val="none" w:color="FFFFFF" w:sz="0"/>
              <w:bottom w:val="none" w:color="FFFFFF" w:sz="0"/>
              <w:right w:val="none" w:color="FFFFFF" w:sz="0"/>
            </w:tcBorders>
            <w:shd w:fill="F0F4F0" w:val="clear"/>
            <w:tcMar>
              <w:top w:type="dxa" w:w="100"/>
              <w:left w:type="dxa" w:w="200"/>
              <w:bottom w:type="dxa" w:w="100"/>
              <w:right w:type="dxa" w:w="200"/>
            </w:tcMar>
          </w:tcPr>
          <w:p>
            <w:r>
              <w:rPr>
                <w:rFonts w:ascii="Arial" w:cs="Arial" w:eastAsia="Arial" w:hAnsi="Arial"/>
                <w:b/>
                <w:bCs/>
                <w:color w:val="2D6A4F"/>
                <w:sz w:val="22"/>
                <w:szCs w:val="22"/>
              </w:rPr>
              <w:t xml:space="preserve">Key Stat: </w:t>
            </w:r>
            <w:r>
              <w:rPr>
                <w:rFonts w:ascii="Arial" w:cs="Arial" w:eastAsia="Arial" w:hAnsi="Arial"/>
                <w:color w:val="1E293B"/>
                <w:sz w:val="22"/>
                <w:szCs w:val="22"/>
              </w:rPr>
              <w:t xml:space="preserve">~800 million people still lack access to electricity globally. Energy accounts for 73% of all greenhouse gas emissions. AI-driven efficiency tools can accelerate the transition to clean energy without requiring expensive hardware investments.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4. AI Solution Overview</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4.1 Solution Name</w:t>
      </w:r>
    </w:p>
    <w:p>
      <w:pPr>
        <w:spacing w:after="80" w:before="80" w:line="360" w:lineRule="auto"/>
        <w:jc w:val="left"/>
      </w:pPr>
      <w:r>
        <w:rPr>
          <w:rFonts w:ascii="Arial" w:cs="Arial" w:eastAsia="Arial" w:hAnsi="Arial"/>
          <w:b w:val="false"/>
          <w:bCs w:val="false"/>
          <w:i w:val="false"/>
          <w:iCs w:val="false"/>
          <w:color w:val="1E293B"/>
          <w:sz w:val="22"/>
          <w:szCs w:val="22"/>
        </w:rPr>
        <w:t xml:space="preserve">SmartEnergy AI — a cloud-native, AI-powered sustainability platform for energy forecasting, carbon tracking, and clean energy advisory.</w:t>
      </w:r>
    </w:p>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4.2 Core AI Modules</w:t>
      </w:r>
    </w:p>
    <w:p>
      <w:pPr>
        <w:pStyle w:val="Heading3"/>
        <w:spacing w:after="80" w:before="180"/>
      </w:pPr>
      <w:r>
        <w:rPr>
          <w:rFonts w:ascii="Arial" w:cs="Arial" w:eastAsia="Arial" w:hAnsi="Arial"/>
          <w:b/>
          <w:bCs/>
          <w:color w:val="64748B"/>
          <w:sz w:val="24"/>
          <w:szCs w:val="24"/>
        </w:rPr>
        <w:t xml:space="preserve">Module 1: Energy Consumption Forecasting</w:t>
      </w:r>
    </w:p>
    <w:p>
      <w:pPr>
        <w:spacing w:after="80" w:before="80" w:line="360" w:lineRule="auto"/>
        <w:jc w:val="left"/>
      </w:pPr>
      <w:r>
        <w:rPr>
          <w:rFonts w:ascii="Arial" w:cs="Arial" w:eastAsia="Arial" w:hAnsi="Arial"/>
          <w:b w:val="false"/>
          <w:bCs w:val="false"/>
          <w:i w:val="false"/>
          <w:iCs w:val="false"/>
          <w:color w:val="1E293B"/>
          <w:sz w:val="22"/>
          <w:szCs w:val="22"/>
        </w:rPr>
        <w:t xml:space="preserve">Uses IBM Granite LLM with time-series prompt engineering to predict daily and weekly energy consumption based on:</w:t>
      </w:r>
    </w:p>
    <w:p>
      <w:pPr>
        <w:pStyle w:val="ListParagraph"/>
        <w:numPr>
          <w:ilvl w:val="0"/>
          <w:numId w:val="2"/>
        </w:numPr>
        <w:spacing w:after="60" w:before="60"/>
      </w:pPr>
      <w:r>
        <w:rPr>
          <w:rFonts w:ascii="Arial" w:cs="Arial" w:eastAsia="Arial" w:hAnsi="Arial"/>
          <w:color w:val="1E293B"/>
          <w:sz w:val="22"/>
          <w:szCs w:val="22"/>
        </w:rPr>
        <w:t xml:space="preserve">Historical electricity bill / smart meter data</w:t>
      </w:r>
    </w:p>
    <w:p>
      <w:pPr>
        <w:pStyle w:val="ListParagraph"/>
        <w:numPr>
          <w:ilvl w:val="0"/>
          <w:numId w:val="2"/>
        </w:numPr>
        <w:spacing w:after="60" w:before="60"/>
      </w:pPr>
      <w:r>
        <w:rPr>
          <w:rFonts w:ascii="Arial" w:cs="Arial" w:eastAsia="Arial" w:hAnsi="Arial"/>
          <w:color w:val="1E293B"/>
          <w:sz w:val="22"/>
          <w:szCs w:val="22"/>
        </w:rPr>
        <w:t xml:space="preserve">Building type (SME, campus, hospital, factory)</w:t>
      </w:r>
    </w:p>
    <w:p>
      <w:pPr>
        <w:pStyle w:val="ListParagraph"/>
        <w:numPr>
          <w:ilvl w:val="0"/>
          <w:numId w:val="2"/>
        </w:numPr>
        <w:spacing w:after="60" w:before="60"/>
      </w:pPr>
      <w:r>
        <w:rPr>
          <w:rFonts w:ascii="Arial" w:cs="Arial" w:eastAsia="Arial" w:hAnsi="Arial"/>
          <w:color w:val="1E293B"/>
          <w:sz w:val="22"/>
          <w:szCs w:val="22"/>
        </w:rPr>
        <w:t xml:space="preserve">Climate zone and seasonal factors</w:t>
      </w:r>
    </w:p>
    <w:p>
      <w:pPr>
        <w:pStyle w:val="ListParagraph"/>
        <w:numPr>
          <w:ilvl w:val="0"/>
          <w:numId w:val="2"/>
        </w:numPr>
        <w:spacing w:after="60" w:before="60"/>
      </w:pPr>
      <w:r>
        <w:rPr>
          <w:rFonts w:ascii="Arial" w:cs="Arial" w:eastAsia="Arial" w:hAnsi="Arial"/>
          <w:color w:val="1E293B"/>
          <w:sz w:val="22"/>
          <w:szCs w:val="22"/>
        </w:rPr>
        <w:t xml:space="preserve">Occupancy levels and IT equipment inventory</w:t>
      </w:r>
    </w:p>
    <w:p>
      <w:pPr>
        <w:spacing w:after="40" w:before="40"/>
      </w:pPr>
      <w:r>
        <w:rPr>
          <w:rFonts w:ascii="Arial" w:cs="Arial" w:eastAsia="Arial" w:hAnsi="Arial"/>
          <w:sz w:val="22"/>
          <w:szCs w:val="22"/>
        </w:rPr>
        <w:t xml:space="preserve"/>
      </w:r>
    </w:p>
    <w:p>
      <w:pPr>
        <w:spacing w:after="80" w:before="80" w:line="360" w:lineRule="auto"/>
        <w:jc w:val="left"/>
      </w:pPr>
      <w:r>
        <w:rPr>
          <w:rFonts w:ascii="Arial" w:cs="Arial" w:eastAsia="Arial" w:hAnsi="Arial"/>
          <w:b w:val="false"/>
          <w:bCs w:val="false"/>
          <w:i w:val="false"/>
          <w:iCs w:val="false"/>
          <w:color w:val="1E293B"/>
          <w:sz w:val="22"/>
          <w:szCs w:val="22"/>
        </w:rPr>
        <w:t xml:space="preserve">Output: A 7-day bar chart forecast (in kWh per day), peak-day identification, off-peak window recommendation, and an efficiency rating (A through D).</w:t>
      </w:r>
    </w:p>
    <w:p>
      <w:pPr>
        <w:pStyle w:val="Heading3"/>
        <w:spacing w:after="80" w:before="180"/>
      </w:pPr>
      <w:r>
        <w:rPr>
          <w:rFonts w:ascii="Arial" w:cs="Arial" w:eastAsia="Arial" w:hAnsi="Arial"/>
          <w:b/>
          <w:bCs/>
          <w:color w:val="64748B"/>
          <w:sz w:val="24"/>
          <w:szCs w:val="24"/>
        </w:rPr>
        <w:t xml:space="preserve">Module 2: Carbon Footprint Calculator</w:t>
      </w:r>
    </w:p>
    <w:p>
      <w:pPr>
        <w:spacing w:after="80" w:before="80" w:line="360" w:lineRule="auto"/>
        <w:jc w:val="left"/>
      </w:pPr>
      <w:r>
        <w:rPr>
          <w:rFonts w:ascii="Arial" w:cs="Arial" w:eastAsia="Arial" w:hAnsi="Arial"/>
          <w:b w:val="false"/>
          <w:bCs w:val="false"/>
          <w:i w:val="false"/>
          <w:iCs w:val="false"/>
          <w:color w:val="1E293B"/>
          <w:sz w:val="22"/>
          <w:szCs w:val="22"/>
        </w:rPr>
        <w:t xml:space="preserve">Converts energy consumption data into CO₂ emissions using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jc w:val="center"/>
            </w:pPr>
            <w:r>
              <w:rPr>
                <w:rFonts w:ascii="Arial" w:cs="Arial" w:eastAsia="Arial" w:hAnsi="Arial"/>
                <w:b/>
                <w:bCs/>
                <w:color w:val="1A3C34"/>
                <w:sz w:val="24"/>
                <w:szCs w:val="24"/>
              </w:rPr>
              <w:t xml:space="preserve">CO₂ (kg)  =  Energy Consumed (kWh)  ×  Grid Emission Factor (kg CO₂/kWh)</w:t>
            </w:r>
          </w:p>
        </w:tc>
      </w:tr>
    </w:tbl>
    <w:p>
      <w:pPr>
        <w:spacing w:after="40" w:before="40"/>
      </w:pPr>
      <w:r>
        <w:rPr>
          <w:rFonts w:ascii="Arial" w:cs="Arial" w:eastAsia="Arial" w:hAnsi="Arial"/>
          <w:sz w:val="22"/>
          <w:szCs w:val="22"/>
        </w:rPr>
        <w:t xml:space="preserve"/>
      </w:r>
    </w:p>
    <w:p>
      <w:pPr>
        <w:spacing w:after="80" w:before="80" w:line="360" w:lineRule="auto"/>
        <w:jc w:val="left"/>
      </w:pPr>
      <w:r>
        <w:rPr>
          <w:rFonts w:ascii="Arial" w:cs="Arial" w:eastAsia="Arial" w:hAnsi="Arial"/>
          <w:b w:val="false"/>
          <w:bCs w:val="false"/>
          <w:i w:val="false"/>
          <w:iCs w:val="false"/>
          <w:color w:val="1E293B"/>
          <w:sz w:val="22"/>
          <w:szCs w:val="22"/>
        </w:rPr>
        <w:t xml:space="preserve">India's average grid emission factor: 0.82 kg CO₂/kWh. Solar emission factor: 0.04 kg CO₂/kWh. The platform shows both current emissions and projected reductions with solar installation.</w:t>
      </w:r>
    </w:p>
    <w:p>
      <w:pPr>
        <w:pStyle w:val="Heading3"/>
        <w:spacing w:after="80" w:before="180"/>
      </w:pPr>
      <w:r>
        <w:rPr>
          <w:rFonts w:ascii="Arial" w:cs="Arial" w:eastAsia="Arial" w:hAnsi="Arial"/>
          <w:b/>
          <w:bCs/>
          <w:color w:val="64748B"/>
          <w:sz w:val="24"/>
          <w:szCs w:val="24"/>
        </w:rPr>
        <w:t xml:space="preserve">Module 3: AI Advisor Chatbot (RAG Pipeline)</w:t>
      </w:r>
    </w:p>
    <w:p>
      <w:pPr>
        <w:spacing w:after="80" w:before="80" w:line="360" w:lineRule="auto"/>
        <w:jc w:val="left"/>
      </w:pPr>
      <w:r>
        <w:rPr>
          <w:rFonts w:ascii="Arial" w:cs="Arial" w:eastAsia="Arial" w:hAnsi="Arial"/>
          <w:b w:val="false"/>
          <w:bCs w:val="false"/>
          <w:i w:val="false"/>
          <w:iCs w:val="false"/>
          <w:color w:val="1E293B"/>
          <w:sz w:val="22"/>
          <w:szCs w:val="22"/>
        </w:rPr>
        <w:t xml:space="preserve">Built on a Retrieval-Augmented Generation (RAG) architecture using IBM Granite as the backbone LLM. The chatbot is grounded in a curated knowledge base of:</w:t>
      </w:r>
    </w:p>
    <w:p>
      <w:pPr>
        <w:pStyle w:val="ListParagraph"/>
        <w:numPr>
          <w:ilvl w:val="0"/>
          <w:numId w:val="2"/>
        </w:numPr>
        <w:spacing w:after="60" w:before="60"/>
      </w:pPr>
      <w:r>
        <w:rPr>
          <w:rFonts w:ascii="Arial" w:cs="Arial" w:eastAsia="Arial" w:hAnsi="Arial"/>
          <w:color w:val="1E293B"/>
          <w:sz w:val="22"/>
          <w:szCs w:val="22"/>
        </w:rPr>
        <w:t xml:space="preserve">Indian government solar subsidy schemes (PM Surya Ghar Yojana, MNRE)</w:t>
      </w:r>
    </w:p>
    <w:p>
      <w:pPr>
        <w:pStyle w:val="ListParagraph"/>
        <w:numPr>
          <w:ilvl w:val="0"/>
          <w:numId w:val="2"/>
        </w:numPr>
        <w:spacing w:after="60" w:before="60"/>
      </w:pPr>
      <w:r>
        <w:rPr>
          <w:rFonts w:ascii="Arial" w:cs="Arial" w:eastAsia="Arial" w:hAnsi="Arial"/>
          <w:color w:val="1E293B"/>
          <w:sz w:val="22"/>
          <w:szCs w:val="22"/>
        </w:rPr>
        <w:t xml:space="preserve">Clean energy policy documents and DISCOM tariff structures</w:t>
      </w:r>
    </w:p>
    <w:p>
      <w:pPr>
        <w:pStyle w:val="ListParagraph"/>
        <w:numPr>
          <w:ilvl w:val="0"/>
          <w:numId w:val="2"/>
        </w:numPr>
        <w:spacing w:after="60" w:before="60"/>
      </w:pPr>
      <w:r>
        <w:rPr>
          <w:rFonts w:ascii="Arial" w:cs="Arial" w:eastAsia="Arial" w:hAnsi="Arial"/>
          <w:color w:val="1E293B"/>
          <w:sz w:val="22"/>
          <w:szCs w:val="22"/>
        </w:rPr>
        <w:t xml:space="preserve">Industry benchmarking data for energy intensity by sector</w:t>
      </w:r>
    </w:p>
    <w:p>
      <w:pPr>
        <w:pStyle w:val="ListParagraph"/>
        <w:numPr>
          <w:ilvl w:val="0"/>
          <w:numId w:val="2"/>
        </w:numPr>
        <w:spacing w:after="60" w:before="60"/>
      </w:pPr>
      <w:r>
        <w:rPr>
          <w:rFonts w:ascii="Arial" w:cs="Arial" w:eastAsia="Arial" w:hAnsi="Arial"/>
          <w:color w:val="1E293B"/>
          <w:sz w:val="22"/>
          <w:szCs w:val="22"/>
        </w:rPr>
        <w:t xml:space="preserve">Best-practice energy efficiency guidelines</w:t>
      </w:r>
    </w:p>
    <w:p>
      <w:pPr>
        <w:pStyle w:val="Heading3"/>
        <w:spacing w:after="80" w:before="180"/>
      </w:pPr>
      <w:r>
        <w:rPr>
          <w:rFonts w:ascii="Arial" w:cs="Arial" w:eastAsia="Arial" w:hAnsi="Arial"/>
          <w:b/>
          <w:bCs/>
          <w:color w:val="64748B"/>
          <w:sz w:val="24"/>
          <w:szCs w:val="24"/>
        </w:rPr>
        <w:t xml:space="preserve">Module 4: Agentic Workflow</w:t>
      </w:r>
    </w:p>
    <w:p>
      <w:pPr>
        <w:spacing w:after="80" w:before="80" w:line="360" w:lineRule="auto"/>
        <w:jc w:val="left"/>
      </w:pPr>
      <w:r>
        <w:rPr>
          <w:rFonts w:ascii="Arial" w:cs="Arial" w:eastAsia="Arial" w:hAnsi="Arial"/>
          <w:b w:val="false"/>
          <w:bCs w:val="false"/>
          <w:i w:val="false"/>
          <w:iCs w:val="false"/>
          <w:color w:val="1E293B"/>
          <w:sz w:val="22"/>
          <w:szCs w:val="22"/>
        </w:rPr>
        <w:t xml:space="preserve">An AI agent automatically: fetches real-time electricity tariff data, retrieves weather forecasts for climate-adjusted predictions, runs the forecasting pipeline, and generates a weekly sustainability digest PDF for the user.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5. AI Workflow &amp; Prototype Architecture</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5.1 End-to-End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3240"/>
      </w:tblGrid>
      <w:tr>
        <w:tc>
          <w:tcPr>
            <w:tcW w:type="dxa" w:w="72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Stage</w:t>
            </w:r>
          </w:p>
        </w:tc>
        <w:tc>
          <w:tcPr>
            <w:tcW w:type="dxa" w:w="32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Input</w:t>
            </w:r>
          </w:p>
        </w:tc>
        <w:tc>
          <w:tcPr>
            <w:tcW w:type="dxa" w:w="32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Data Input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Electricity bills, smart meter CSV, building type, location, occupancy</w:t>
            </w:r>
          </w:p>
        </w:tc>
        <w:tc>
          <w:tcPr>
            <w:tcW w:type="dxa" w:w="32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Structured energy profile</w:t>
            </w:r>
          </w:p>
        </w:tc>
      </w:tr>
      <w:tr>
        <w:tc>
          <w:tcPr>
            <w:tcW w:type="dxa" w:w="7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02</w:t>
            </w:r>
          </w:p>
        </w:tc>
        <w:tc>
          <w:tcPr>
            <w:tcW w:type="dxa" w:w="216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Preprocessing</w:t>
            </w:r>
          </w:p>
        </w:tc>
        <w:tc>
          <w:tcPr>
            <w:tcW w:type="dxa" w:w="32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Normalisation of data, weather API call, regional grid factor lookup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Clean, enriched dataset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Forecasting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Processed data + prompt template fed to IBM Granite LLM</w:t>
            </w:r>
          </w:p>
        </w:tc>
        <w:tc>
          <w:tcPr>
            <w:tcW w:type="dxa" w:w="32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7-day kWh prediction per day</w:t>
            </w:r>
          </w:p>
        </w:tc>
      </w:tr>
      <w:tr>
        <w:tc>
          <w:tcPr>
            <w:tcW w:type="dxa" w:w="7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04</w:t>
            </w:r>
          </w:p>
        </w:tc>
        <w:tc>
          <w:tcPr>
            <w:tcW w:type="dxa" w:w="216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Carbon Estimation</w:t>
            </w:r>
          </w:p>
        </w:tc>
        <w:tc>
          <w:tcPr>
            <w:tcW w:type="dxa" w:w="32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kWh forecast + emission factor + solar offset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CO₂ dashboard + reduction projection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Advisory Output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RAG query against policy knowledge base</w:t>
            </w:r>
          </w:p>
        </w:tc>
        <w:tc>
          <w:tcPr>
            <w:tcW w:type="dxa" w:w="32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Personalised recommendations + weekly PDF digest</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AI / 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IBM Granite (via watsonx)</w:t>
            </w:r>
          </w:p>
        </w:tc>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Forecasting, RAG, text generation</w:t>
            </w:r>
          </w:p>
        </w:tc>
      </w:tr>
      <w:tr>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RAG Pipeline</w:t>
            </w:r>
          </w:p>
        </w:tc>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watsonx.ai + Vector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knowledge base retrieval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HTML + CSS + JavaScript</w:t>
            </w:r>
          </w:p>
        </w:tc>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Interactive dashboard — zero framework</w:t>
            </w:r>
          </w:p>
        </w:tc>
      </w:tr>
      <w:tr>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Data APIs</w:t>
            </w:r>
          </w:p>
        </w:tc>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OpenWeatherMap, POSOCO Grid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Real-time climate + emission factors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GitHub Pages / Netlify / Vercel</w:t>
            </w:r>
          </w:p>
        </w:tc>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Free, static, instant 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6. Carbon Footprint Analysis</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6.1 Measurement Methodology</w:t>
      </w:r>
    </w:p>
    <w:p>
      <w:pPr>
        <w:spacing w:after="80" w:before="80" w:line="360" w:lineRule="auto"/>
        <w:jc w:val="left"/>
      </w:pPr>
      <w:r>
        <w:rPr>
          <w:rFonts w:ascii="Arial" w:cs="Arial" w:eastAsia="Arial" w:hAnsi="Arial"/>
          <w:b w:val="false"/>
          <w:bCs w:val="false"/>
          <w:i w:val="false"/>
          <w:iCs w:val="false"/>
          <w:color w:val="1E293B"/>
          <w:sz w:val="22"/>
          <w:szCs w:val="22"/>
        </w:rPr>
        <w:t xml:space="preserve">SmartEnergy AI uses the Greenhouse Gas (GHG) Protocol Scope 2 methodology to calculate indirect emissions from purchased electricity. The core calculation is:</w:t>
      </w:r>
    </w:p>
    <w:p>
      <w:pPr>
        <w:pStyle w:val="ListParagraph"/>
        <w:numPr>
          <w:ilvl w:val="0"/>
          <w:numId w:val="2"/>
        </w:numPr>
        <w:spacing w:after="60" w:before="60"/>
      </w:pPr>
      <w:r>
        <w:rPr>
          <w:rFonts w:ascii="Arial" w:cs="Arial" w:eastAsia="Arial" w:hAnsi="Arial"/>
          <w:color w:val="1E293B"/>
          <w:sz w:val="22"/>
          <w:szCs w:val="22"/>
        </w:rPr>
        <w:t xml:space="preserve">Grid electricity consumption (kWh) × regional emission factor = kg CO₂</w:t>
      </w:r>
    </w:p>
    <w:p>
      <w:pPr>
        <w:pStyle w:val="ListParagraph"/>
        <w:numPr>
          <w:ilvl w:val="0"/>
          <w:numId w:val="2"/>
        </w:numPr>
        <w:spacing w:after="60" w:before="60"/>
      </w:pPr>
      <w:r>
        <w:rPr>
          <w:rFonts w:ascii="Arial" w:cs="Arial" w:eastAsia="Arial" w:hAnsi="Arial"/>
          <w:color w:val="1E293B"/>
          <w:sz w:val="22"/>
          <w:szCs w:val="22"/>
        </w:rPr>
        <w:t xml:space="preserve">Solar generation offset: reduces effective grid draw, proportionally reducing CO₂</w:t>
      </w:r>
    </w:p>
    <w:p>
      <w:pPr>
        <w:pStyle w:val="ListParagraph"/>
        <w:numPr>
          <w:ilvl w:val="0"/>
          <w:numId w:val="2"/>
        </w:numPr>
        <w:spacing w:after="60" w:before="60"/>
      </w:pPr>
      <w:r>
        <w:rPr>
          <w:rFonts w:ascii="Arial" w:cs="Arial" w:eastAsia="Arial" w:hAnsi="Arial"/>
          <w:color w:val="1E293B"/>
          <w:sz w:val="22"/>
          <w:szCs w:val="22"/>
        </w:rPr>
        <w:t xml:space="preserve">Source mix blending: user can model 0%–100% solar adoption scenarios</w:t>
      </w:r>
    </w:p>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6.2 Carbon Breakdown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Energy Source</w:t>
            </w:r>
          </w:p>
        </w:tc>
        <w:tc>
          <w:tcPr>
            <w:tcW w:type="dxa" w:w="156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 of Total</w:t>
            </w:r>
          </w:p>
        </w:tc>
        <w:tc>
          <w:tcPr>
            <w:tcW w:type="dxa" w:w="23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CO₂ Share (typical SME)</w:t>
            </w:r>
          </w:p>
        </w:tc>
        <w:tc>
          <w:tcPr>
            <w:tcW w:type="dxa" w:w="23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Reduction Strategy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HVAC / Cooling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~611 kg/month</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Pre-cooling + smart scheduling</w:t>
            </w:r>
          </w:p>
        </w:tc>
      </w:tr>
      <w:tr>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Machinery</w:t>
            </w:r>
          </w:p>
        </w:tc>
        <w:tc>
          <w:tcPr>
            <w:tcW w:type="dxa" w:w="156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25%</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~402 kg/month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VFDs + off-peak shift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Lighting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~289 kg/month</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LED + occupancy sensors</w:t>
            </w:r>
          </w:p>
        </w:tc>
      </w:tr>
      <w:tr>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IT Equipment</w:t>
            </w:r>
          </w:p>
        </w:tc>
        <w:tc>
          <w:tcPr>
            <w:tcW w:type="dxa" w:w="156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12%</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~193 kg/month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Power-save mode + smart strips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Others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~112 kg/month</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Audit + behaviour change</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6.3 Projected Reduction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Timeframe</w:t>
            </w:r>
          </w:p>
        </w:tc>
        <w:tc>
          <w:tcPr>
            <w:tcW w:type="dxa" w:w="23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Actions</w:t>
            </w:r>
          </w:p>
        </w:tc>
        <w:tc>
          <w:tcPr>
            <w:tcW w:type="dxa" w:w="23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CO₂ Reduction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Quick Wins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0–3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Off-peak scheduling, LED retrofit</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~25%</w:t>
            </w:r>
          </w:p>
        </w:tc>
      </w:tr>
      <w:tr>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Medium-term</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3–12 months</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Rooftop solar, HVAC upgrade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~55%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Long-term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1–3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Battery storage, net metering</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~85%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7. Responsible AI Considerations</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7.1 Fairness</w:t>
      </w:r>
    </w:p>
    <w:p>
      <w:pPr>
        <w:spacing w:after="80" w:before="80" w:line="360" w:lineRule="auto"/>
        <w:jc w:val="left"/>
      </w:pPr>
      <w:r>
        <w:rPr>
          <w:rFonts w:ascii="Arial" w:cs="Arial" w:eastAsia="Arial" w:hAnsi="Arial"/>
          <w:b w:val="false"/>
          <w:bCs w:val="false"/>
          <w:i w:val="false"/>
          <w:iCs w:val="false"/>
          <w:color w:val="1E293B"/>
          <w:sz w:val="22"/>
          <w:szCs w:val="22"/>
        </w:rPr>
        <w:t xml:space="preserve">SmartEnergy AI is designed to serve both urban enterprises with smart meters and rural SMEs with only basic electricity bills. Forecasting models are calibrated separately for high-data and low-data scenarios. The platform never penalises smaller organisations for having less data.</w:t>
      </w:r>
    </w:p>
    <w:p>
      <w:pPr>
        <w:pStyle w:val="Heading2"/>
        <w:spacing w:after="100" w:before="240"/>
      </w:pPr>
      <w:r>
        <w:rPr>
          <w:rFonts w:ascii="Arial" w:cs="Arial" w:eastAsia="Arial" w:hAnsi="Arial"/>
          <w:b/>
          <w:bCs/>
          <w:color w:val="2D6A4F"/>
          <w:sz w:val="28"/>
          <w:szCs w:val="28"/>
        </w:rPr>
        <w:t xml:space="preserve">7.2 Transparency</w:t>
      </w:r>
    </w:p>
    <w:p>
      <w:pPr>
        <w:spacing w:after="80" w:before="80" w:line="360" w:lineRule="auto"/>
        <w:jc w:val="left"/>
      </w:pPr>
      <w:r>
        <w:rPr>
          <w:rFonts w:ascii="Arial" w:cs="Arial" w:eastAsia="Arial" w:hAnsi="Arial"/>
          <w:b w:val="false"/>
          <w:bCs w:val="false"/>
          <w:i w:val="false"/>
          <w:iCs w:val="false"/>
          <w:color w:val="1E293B"/>
          <w:sz w:val="22"/>
          <w:szCs w:val="22"/>
        </w:rPr>
        <w:t xml:space="preserve">Every AI-generated recommendation includes a plain-language explanation of the reasoning process. Users can see which data inputs drove the forecast, which emission factors were used, and where the policy information in the chatbot came from. There are no black-box outputs.</w:t>
      </w:r>
    </w:p>
    <w:p>
      <w:pPr>
        <w:pStyle w:val="Heading2"/>
        <w:spacing w:after="100" w:before="240"/>
      </w:pPr>
      <w:r>
        <w:rPr>
          <w:rFonts w:ascii="Arial" w:cs="Arial" w:eastAsia="Arial" w:hAnsi="Arial"/>
          <w:b/>
          <w:bCs/>
          <w:color w:val="2D6A4F"/>
          <w:sz w:val="28"/>
          <w:szCs w:val="28"/>
        </w:rPr>
        <w:t xml:space="preserve">7.3 Ethics</w:t>
      </w:r>
    </w:p>
    <w:p>
      <w:pPr>
        <w:spacing w:after="80" w:before="80" w:line="360" w:lineRule="auto"/>
        <w:jc w:val="left"/>
      </w:pPr>
      <w:r>
        <w:rPr>
          <w:rFonts w:ascii="Arial" w:cs="Arial" w:eastAsia="Arial" w:hAnsi="Arial"/>
          <w:b w:val="false"/>
          <w:bCs w:val="false"/>
          <w:i w:val="false"/>
          <w:iCs w:val="false"/>
          <w:color w:val="1E293B"/>
          <w:sz w:val="22"/>
          <w:szCs w:val="22"/>
        </w:rPr>
        <w:t xml:space="preserve">The platform does not make misleading carbon offset claims. All uncertainty in forecasts is flagged explicitly. The system does not recommend actions that shift environmental burden onto other communities. It will not suggest diesel generators as an energy solution even if they reduce grid dependency.</w:t>
      </w:r>
    </w:p>
    <w:p>
      <w:pPr>
        <w:pStyle w:val="Heading2"/>
        <w:spacing w:after="100" w:before="240"/>
      </w:pPr>
      <w:r>
        <w:rPr>
          <w:rFonts w:ascii="Arial" w:cs="Arial" w:eastAsia="Arial" w:hAnsi="Arial"/>
          <w:b/>
          <w:bCs/>
          <w:color w:val="2D6A4F"/>
          <w:sz w:val="28"/>
          <w:szCs w:val="28"/>
        </w:rPr>
        <w:t xml:space="preserve">7.4 Privacy</w:t>
      </w:r>
    </w:p>
    <w:p>
      <w:pPr>
        <w:spacing w:after="80" w:before="80" w:line="360" w:lineRule="auto"/>
        <w:jc w:val="left"/>
      </w:pPr>
      <w:r>
        <w:rPr>
          <w:rFonts w:ascii="Arial" w:cs="Arial" w:eastAsia="Arial" w:hAnsi="Arial"/>
          <w:b w:val="false"/>
          <w:bCs w:val="false"/>
          <w:i w:val="false"/>
          <w:iCs w:val="false"/>
          <w:color w:val="1E293B"/>
          <w:sz w:val="22"/>
          <w:szCs w:val="22"/>
        </w:rPr>
        <w:t xml:space="preserve">All energy consumption data is processed locally in the browser (client-side JavaScript) or anonymised before cloud processing. No personal identifiers are stored. Users provide explicit consent before any data is sent to external APIs (weather, grid factors). The platform is DPDP Act (India) compliant by design.</w:t>
      </w:r>
    </w:p>
    <w:p>
      <w:pPr>
        <w:pStyle w:val="Heading2"/>
        <w:spacing w:after="100" w:before="240"/>
      </w:pPr>
      <w:r>
        <w:rPr>
          <w:rFonts w:ascii="Arial" w:cs="Arial" w:eastAsia="Arial" w:hAnsi="Arial"/>
          <w:b/>
          <w:bCs/>
          <w:color w:val="2D6A4F"/>
          <w:sz w:val="28"/>
          <w:szCs w:val="28"/>
        </w:rPr>
        <w:t xml:space="preserve">7.5 Inclusivity</w:t>
      </w:r>
    </w:p>
    <w:p>
      <w:pPr>
        <w:spacing w:after="80" w:before="80" w:line="360" w:lineRule="auto"/>
        <w:jc w:val="left"/>
      </w:pPr>
      <w:r>
        <w:rPr>
          <w:rFonts w:ascii="Arial" w:cs="Arial" w:eastAsia="Arial" w:hAnsi="Arial"/>
          <w:b w:val="false"/>
          <w:bCs w:val="false"/>
          <w:i w:val="false"/>
          <w:iCs w:val="false"/>
          <w:color w:val="1E293B"/>
          <w:sz w:val="22"/>
          <w:szCs w:val="22"/>
        </w:rPr>
        <w:t xml:space="preserve">The interface is available in English with plans for Hindi and regional language support. The chatbot responses are designed to be understood without technical expertise. Mobile-responsive design ensures accessibility on low-cost Android devices.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8. Expected Impact</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8.1 Quantified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Impact</w:t>
            </w:r>
          </w:p>
        </w:tc>
        <w:tc>
          <w:tcPr>
            <w:tcW w:type="dxa" w:w="3900"/>
            <w:tcBorders>
              <w:top w:val="single" w:color="CCCCCC" w:sz="1"/>
              <w:left w:val="single" w:color="CCCCCC" w:sz="1"/>
              <w:bottom w:val="single" w:color="CCCCCC" w:sz="1"/>
              <w:right w:val="single" w:color="CCCCCC" w:sz="1"/>
            </w:tcBorders>
            <w:shd w:fill="1A3C3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Basis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Energy cost reduction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25%</w:t>
            </w:r>
          </w:p>
        </w:tc>
        <w:tc>
          <w:tcPr>
            <w:tcW w:type="dxa" w:w="390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Off-peak shift + efficiency rating</w:t>
            </w:r>
          </w:p>
        </w:tc>
      </w:tr>
      <w:tr>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CO₂ emissions decline (Year 1)</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30%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Solar + HVAC + LED combined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Sustainability reporting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10× faster</w:t>
            </w:r>
          </w:p>
        </w:tc>
        <w:tc>
          <w:tcPr>
            <w:tcW w:type="dxa" w:w="390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Automated PDF vs. manual spreadsheet</w:t>
            </w:r>
          </w:p>
        </w:tc>
      </w:tr>
      <w:tr>
        <w:tc>
          <w:tcPr>
            <w:tcW w:type="dxa" w:w="312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Hardware investment required</w:t>
            </w:r>
          </w:p>
        </w:tc>
        <w:tc>
          <w:tcPr>
            <w:tcW w:type="dxa" w:w="234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100% browser-based, cloud-native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CO₂ saved at 1,000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~1,600 tonnes/year</w:t>
            </w:r>
          </w:p>
        </w:tc>
        <w:tc>
          <w:tcPr>
            <w:tcW w:type="dxa" w:w="3900"/>
            <w:tcBorders>
              <w:top w:val="single" w:color="CCCCCC" w:sz="1"/>
              <w:left w:val="single" w:color="CCCCCC" w:sz="1"/>
              <w:bottom w:val="single" w:color="CCCCCC" w:sz="1"/>
              <w:right w:val="single" w:color="CCCCCC" w:sz="1"/>
            </w:tcBorders>
            <w:shd w:fill="EDF7F2" w:val="clear"/>
            <w:tcMar>
              <w:top w:type="dxa" w:w="80"/>
              <w:left w:type="dxa" w:w="140"/>
              <w:bottom w:type="dxa" w:w="80"/>
              <w:right w:type="dxa" w:w="140"/>
            </w:tcMar>
          </w:tcPr>
          <w:p>
            <w:r>
              <w:rPr>
                <w:rFonts w:ascii="Arial" w:cs="Arial" w:eastAsia="Arial" w:hAnsi="Arial"/>
                <w:b w:val="false"/>
                <w:bCs w:val="false"/>
                <w:color w:val="1E293B"/>
                <w:sz w:val="20"/>
                <w:szCs w:val="20"/>
              </w:rPr>
              <w:t xml:space="preserve">30% × 1,960 kWh × 0.82 × 12 × 1,000</w:t>
            </w:r>
          </w:p>
        </w:tc>
      </w:tr>
    </w:tbl>
    <w:p>
      <w:pPr>
        <w:spacing w:after="40" w:before="40"/>
      </w:pPr>
      <w:r>
        <w:rPr>
          <w:rFonts w:ascii="Arial" w:cs="Arial" w:eastAsia="Arial" w:hAnsi="Arial"/>
          <w:sz w:val="22"/>
          <w:szCs w:val="22"/>
        </w:rPr>
        <w:t xml:space="preserve"/>
      </w:r>
    </w:p>
    <w:p>
      <w:pPr>
        <w:pStyle w:val="Heading2"/>
        <w:spacing w:after="100" w:before="240"/>
      </w:pPr>
      <w:r>
        <w:rPr>
          <w:rFonts w:ascii="Arial" w:cs="Arial" w:eastAsia="Arial" w:hAnsi="Arial"/>
          <w:b/>
          <w:bCs/>
          <w:color w:val="2D6A4F"/>
          <w:sz w:val="28"/>
          <w:szCs w:val="28"/>
        </w:rPr>
        <w:t xml:space="preserve">8.2 Who Benefits</w:t>
      </w:r>
    </w:p>
    <w:p>
      <w:pPr>
        <w:pStyle w:val="ListParagraph"/>
        <w:numPr>
          <w:ilvl w:val="0"/>
          <w:numId w:val="2"/>
        </w:numPr>
        <w:spacing w:after="60" w:before="60"/>
      </w:pPr>
      <w:r>
        <w:rPr>
          <w:rFonts w:ascii="Arial" w:cs="Arial" w:eastAsia="Arial" w:hAnsi="Arial"/>
          <w:color w:val="1E293B"/>
          <w:sz w:val="22"/>
          <w:szCs w:val="22"/>
        </w:rPr>
        <w:t xml:space="preserve">SME Owners — Real-time bill forecasts enable proactive budget management; AI-recommended solar shift drives long-term cost reduction</w:t>
      </w:r>
    </w:p>
    <w:p>
      <w:pPr>
        <w:pStyle w:val="ListParagraph"/>
        <w:numPr>
          <w:ilvl w:val="0"/>
          <w:numId w:val="2"/>
        </w:numPr>
        <w:spacing w:after="60" w:before="60"/>
      </w:pPr>
      <w:r>
        <w:rPr>
          <w:rFonts w:ascii="Arial" w:cs="Arial" w:eastAsia="Arial" w:hAnsi="Arial"/>
          <w:color w:val="1E293B"/>
          <w:sz w:val="22"/>
          <w:szCs w:val="22"/>
        </w:rPr>
        <w:t xml:space="preserve">Campus Managers — Automated monthly sustainability reports; instant identification of high-drain equipment</w:t>
      </w:r>
    </w:p>
    <w:p>
      <w:pPr>
        <w:pStyle w:val="ListParagraph"/>
        <w:numPr>
          <w:ilvl w:val="0"/>
          <w:numId w:val="2"/>
        </w:numPr>
        <w:spacing w:after="60" w:before="60"/>
      </w:pPr>
      <w:r>
        <w:rPr>
          <w:rFonts w:ascii="Arial" w:cs="Arial" w:eastAsia="Arial" w:hAnsi="Arial"/>
          <w:color w:val="1E293B"/>
          <w:sz w:val="22"/>
          <w:szCs w:val="22"/>
        </w:rPr>
        <w:t xml:space="preserve">Energy Auditors — Standardised benchmarking data enables faster, evidence-based client recommendations</w:t>
      </w:r>
    </w:p>
    <w:p>
      <w:pPr>
        <w:pStyle w:val="ListParagraph"/>
        <w:numPr>
          <w:ilvl w:val="0"/>
          <w:numId w:val="2"/>
        </w:numPr>
        <w:spacing w:after="60" w:before="60"/>
      </w:pPr>
      <w:r>
        <w:rPr>
          <w:rFonts w:ascii="Arial" w:cs="Arial" w:eastAsia="Arial" w:hAnsi="Arial"/>
          <w:color w:val="1E293B"/>
          <w:sz w:val="22"/>
          <w:szCs w:val="22"/>
        </w:rPr>
        <w:t xml:space="preserve">Policy Planners — Aggregated city-level CO₂ data supports evidence-based clean energy policy decisions</w:t>
      </w:r>
    </w:p>
    <w:p>
      <w:pPr>
        <w:pStyle w:val="ListParagraph"/>
        <w:numPr>
          <w:ilvl w:val="0"/>
          <w:numId w:val="2"/>
        </w:numPr>
        <w:spacing w:after="60" w:before="60"/>
      </w:pPr>
      <w:r>
        <w:rPr>
          <w:rFonts w:ascii="Arial" w:cs="Arial" w:eastAsia="Arial" w:hAnsi="Arial"/>
          <w:color w:val="1E293B"/>
          <w:sz w:val="22"/>
          <w:szCs w:val="22"/>
        </w:rPr>
        <w:t xml:space="preserve">The Environment — Each 1,000 users adopting AI guidance saves ~1,600 tonnes CO₂ annually — equivalent to removing 350 cars from the road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9. Conclusion</w:t>
            </w:r>
          </w:p>
        </w:tc>
      </w:tr>
    </w:tbl>
    <w:p>
      <w:pPr>
        <w:spacing w:after="40" w:before="40"/>
      </w:pPr>
      <w:r>
        <w:rPr>
          <w:rFonts w:ascii="Arial" w:cs="Arial" w:eastAsia="Arial" w:hAnsi="Arial"/>
          <w:sz w:val="22"/>
          <w:szCs w:val="22"/>
        </w:rPr>
        <w:t xml:space="preserve"/>
      </w:r>
    </w:p>
    <w:p>
      <w:pPr>
        <w:spacing w:after="80" w:before="80" w:line="360" w:lineRule="auto"/>
        <w:jc w:val="left"/>
      </w:pPr>
      <w:r>
        <w:rPr>
          <w:rFonts w:ascii="Arial" w:cs="Arial" w:eastAsia="Arial" w:hAnsi="Arial"/>
          <w:b w:val="false"/>
          <w:bCs w:val="false"/>
          <w:i w:val="false"/>
          <w:iCs w:val="false"/>
          <w:color w:val="1E293B"/>
          <w:sz w:val="22"/>
          <w:szCs w:val="22"/>
        </w:rPr>
        <w:t xml:space="preserve">SmartEnergy AI demonstrates how artificial intelligence can be a powerful tool for sustainable development — not by replacing human judgment, but by making energy data accessible, actionable, and understandable for everyone from a small shopkeeper in Varanasi to a campus manager in Chennai.</w:t>
      </w:r>
    </w:p>
    <w:p>
      <w:pPr>
        <w:spacing w:after="40" w:before="40"/>
      </w:pPr>
      <w:r>
        <w:rPr>
          <w:rFonts w:ascii="Arial" w:cs="Arial" w:eastAsia="Arial" w:hAnsi="Arial"/>
          <w:sz w:val="22"/>
          <w:szCs w:val="22"/>
        </w:rPr>
        <w:t xml:space="preserve"/>
      </w:r>
    </w:p>
    <w:p>
      <w:pPr>
        <w:spacing w:after="80" w:before="80" w:line="360" w:lineRule="auto"/>
        <w:jc w:val="left"/>
      </w:pPr>
      <w:r>
        <w:rPr>
          <w:rFonts w:ascii="Arial" w:cs="Arial" w:eastAsia="Arial" w:hAnsi="Arial"/>
          <w:b w:val="false"/>
          <w:bCs w:val="false"/>
          <w:i w:val="false"/>
          <w:iCs w:val="false"/>
          <w:color w:val="1E293B"/>
          <w:sz w:val="22"/>
          <w:szCs w:val="22"/>
        </w:rPr>
        <w:t xml:space="preserve">By combining IBM Granite's language model capabilities with RAG-based policy retrieval and agentic automation, the platform creates a complete sustainability intelligence loop: measure consumption, forecast demand, calculate carbon, and advise on clean alternatives — all in one tool, with zero hardware cost.</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2B788" w:val="clear"/>
            <w:tcMar>
              <w:top w:type="dxa" w:w="100"/>
              <w:left w:type="dxa" w:w="100"/>
              <w:bottom w:type="dxa" w:w="100"/>
              <w:right w:type="dxa" w:w="100"/>
            </w:tcMar>
          </w:tcPr>
          <w:p/>
        </w:tc>
        <w:tc>
          <w:tcPr>
            <w:tcW w:type="dxa" w:w="8960"/>
            <w:tcBorders>
              <w:top w:val="none" w:color="FFFFFF" w:sz="0"/>
              <w:left w:val="none" w:color="FFFFFF" w:sz="0"/>
              <w:bottom w:val="none" w:color="FFFFFF" w:sz="0"/>
              <w:right w:val="none" w:color="FFFFFF" w:sz="0"/>
            </w:tcBorders>
            <w:shd w:fill="F0F4F0" w:val="clear"/>
            <w:tcMar>
              <w:top w:type="dxa" w:w="100"/>
              <w:left w:type="dxa" w:w="200"/>
              <w:bottom w:type="dxa" w:w="100"/>
              <w:right w:type="dxa" w:w="200"/>
            </w:tcMar>
          </w:tcPr>
          <w:p>
            <w:r>
              <w:rPr>
                <w:rFonts w:ascii="Arial" w:cs="Arial" w:eastAsia="Arial" w:hAnsi="Arial"/>
                <w:b/>
                <w:bCs/>
                <w:color w:val="2D6A4F"/>
                <w:sz w:val="22"/>
                <w:szCs w:val="22"/>
              </w:rPr>
              <w:t xml:space="preserve">SDG Impact: </w:t>
            </w:r>
            <w:r>
              <w:rPr>
                <w:rFonts w:ascii="Arial" w:cs="Arial" w:eastAsia="Arial" w:hAnsi="Arial"/>
                <w:color w:val="1E293B"/>
                <w:sz w:val="22"/>
                <w:szCs w:val="22"/>
              </w:rPr>
              <w:t xml:space="preserve">SmartEnergy AI directly addresses SDG 7.2 (renewables), SDG 7.3 (efficiency), SDG 13.2 (climate planning), and SDG 13.3 (climate awareness) — making it one of the few AI tools that simultaneously advances four SDG targets with a single deployment.</w:t>
            </w:r>
          </w:p>
        </w:tc>
      </w:tr>
    </w:tbl>
    <w:p>
      <w:pPr>
        <w:spacing w:after="40" w:before="40"/>
      </w:pPr>
      <w:r>
        <w:rPr>
          <w:rFonts w:ascii="Arial" w:cs="Arial" w:eastAsia="Arial" w:hAnsi="Arial"/>
          <w:sz w:val="22"/>
          <w:szCs w:val="22"/>
        </w:rPr>
        <w:t xml:space="preserve"/>
      </w:r>
    </w:p>
    <w:p>
      <w:pPr>
        <w:spacing w:after="80" w:before="80" w:line="360" w:lineRule="auto"/>
        <w:jc w:val="left"/>
      </w:pPr>
      <w:r>
        <w:rPr>
          <w:rFonts w:ascii="Arial" w:cs="Arial" w:eastAsia="Arial" w:hAnsi="Arial"/>
          <w:b w:val="false"/>
          <w:bCs w:val="false"/>
          <w:i w:val="false"/>
          <w:iCs w:val="false"/>
          <w:color w:val="1E293B"/>
          <w:sz w:val="22"/>
          <w:szCs w:val="22"/>
        </w:rPr>
        <w:t xml:space="preserve">The project is ready for pilot deployment with 10–50 SMEs or campuses, with a roadmap to scale to 10,000+ users within 24 months using watsonx infrastructure and government partnerships.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jc w:val="center"/>
      </w:pPr>
      <w:r>
        <w:rPr>
          <w:rFonts w:ascii="Arial" w:cs="Arial" w:eastAsia="Arial" w:hAnsi="Arial"/>
          <w:b/>
          <w:bCs/>
          <w:color w:val="1A3C34"/>
          <w:sz w:val="24"/>
          <w:szCs w:val="24"/>
        </w:rPr>
        <w:t xml:space="preserve">— End of Report —</w:t>
      </w:r>
    </w:p>
    <w:p>
      <w:pPr>
        <w:jc w:val="center"/>
      </w:pPr>
      <w:r>
        <w:rPr>
          <w:rFonts w:ascii="Arial" w:cs="Arial" w:eastAsia="Arial" w:hAnsi="Arial"/>
          <w:color w:val="64748B"/>
          <w:sz w:val="20"/>
          <w:szCs w:val="20"/>
        </w:rPr>
        <w:t xml:space="preserve">1M1B AI for Sustainability Virtual Internship  ·  IBM SkillsBuild &amp; AICTE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6"/>
        <w:szCs w:val="16"/>
      </w:rPr>
      <w:t xml:space="preserve">   |   1M1B AI for Sustainability Virtual Internship · IBM SkillsBuild &amp; AICTE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1A3C34"/>
              <w:sz w:val="18"/>
              <w:szCs w:val="18"/>
            </w:rPr>
            <w:t xml:space="preserve">SmartEnergy AI — Project Report</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6"/>
              <w:szCs w:val="16"/>
            </w:rPr>
            <w:t xml:space="preserve">SDG 7 + SDG 13  |  1M1B Internship</w:t>
          </w:r>
        </w:p>
      </w:tc>
    </w:tr>
  </w:tbl>
  <w:p>
    <w:pPr>
      <w:pBdr>
        <w:bottom w:val="single" w:color="52B788" w:sz="8"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3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6A4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2026-06-06T15:29:18.764Z</dcterms:created>
  <dcterms:modified xsi:type="dcterms:W3CDTF">2026-06-06T15:29:18.764Z</dcterms:modified>
</cp:coreProperties>
</file>

<file path=docProps/custom.xml><?xml version="1.0" encoding="utf-8"?>
<Properties xmlns="http://schemas.openxmlformats.org/officeDocument/2006/custom-properties" xmlns:vt="http://schemas.openxmlformats.org/officeDocument/2006/docPropsVTypes"/>
</file>