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3C14" w14:textId="77777777" w:rsidR="00572246" w:rsidRDefault="00000000">
      <w:pPr>
        <w:spacing w:before="720" w:after="120"/>
      </w:pPr>
      <w:r>
        <w:rPr>
          <w:rFonts w:ascii="Segoe UI" w:hAnsi="Segoe UI"/>
          <w:b/>
          <w:color w:val="6366F1"/>
          <w:sz w:val="52"/>
        </w:rPr>
        <w:t>APEXPULSE PORTFOLIO ANALYTICS</w:t>
      </w:r>
    </w:p>
    <w:p w14:paraId="39AF84A9" w14:textId="77777777" w:rsidR="00572246" w:rsidRDefault="00000000">
      <w:pPr>
        <w:spacing w:after="480"/>
      </w:pPr>
      <w:r>
        <w:rPr>
          <w:rFonts w:ascii="Segoe UI" w:hAnsi="Segoe UI"/>
          <w:color w:val="64748B"/>
          <w:sz w:val="28"/>
        </w:rPr>
        <w:t>Technical Architecture, Challenges &amp; Engineering Solutions</w:t>
      </w:r>
    </w:p>
    <w:p w14:paraId="1D81267B" w14:textId="77777777" w:rsidR="00572246" w:rsidRDefault="00000000">
      <w:pPr>
        <w:spacing w:after="480"/>
      </w:pPr>
      <w:r>
        <w:rPr>
          <w:color w:val="E2E8F0"/>
        </w:rPr>
        <w:t>──────────────────────────────────────────────────</w:t>
      </w:r>
    </w:p>
    <w:p w14:paraId="7EAE036A" w14:textId="77777777" w:rsidR="00572246" w:rsidRDefault="00000000">
      <w:pPr>
        <w:spacing w:after="240"/>
      </w:pPr>
      <w:r>
        <w:rPr>
          <w:rFonts w:ascii="Segoe UI" w:hAnsi="Segoe UI"/>
          <w:color w:val="334155"/>
        </w:rPr>
        <w:t>This technical document provides a post-implementation review of the ApexPulse Portfolio Analytics Dashboard. Built with a full-stack architecture of React/Next.js (App Router) on the frontend and Node.js/Express/TypeScript on the backend, the platform delivers secure, real-time market valuations and structural analysis of capital assets.</w:t>
      </w:r>
    </w:p>
    <w:p w14:paraId="74C5E554" w14:textId="77777777" w:rsidR="00572246" w:rsidRDefault="00000000">
      <w:pPr>
        <w:pStyle w:val="Heading1"/>
        <w:spacing w:before="360" w:after="120"/>
      </w:pPr>
      <w:r>
        <w:rPr>
          <w:rFonts w:ascii="Segoe UI" w:hAnsi="Segoe UI"/>
          <w:color w:val="0F172A"/>
          <w:sz w:val="32"/>
        </w:rPr>
        <w:t>1. Financial API Integrations &amp; Scraper Strategies</w:t>
      </w:r>
    </w:p>
    <w:p w14:paraId="66FBB00A" w14:textId="77777777" w:rsidR="00572246" w:rsidRDefault="00000000">
      <w:r>
        <w:rPr>
          <w:rFonts w:ascii="Segoe UI" w:hAnsi="Segoe UI"/>
          <w:color w:val="334155"/>
        </w:rPr>
        <w:t>A central engineering constraint of the project was the lack of official public API endpoints for Yahoo Finance and Google Finance. The application handles this constraint using a dual integration strategy:</w:t>
      </w:r>
    </w:p>
    <w:p w14:paraId="609D5875" w14:textId="77777777" w:rsidR="00572246" w:rsidRDefault="00000000">
      <w:pPr>
        <w:pStyle w:val="ListBullet"/>
      </w:pPr>
      <w:r>
        <w:rPr>
          <w:b/>
          <w:color w:val="6366F1"/>
        </w:rPr>
        <w:t xml:space="preserve">Yahoo Finance (Real-Time Price CMP): </w:t>
      </w:r>
      <w:r>
        <w:t>Integrated via the yahoo-finance2 library, which acts as an unofficial client query handler. It requests ticker quotes in real-time. To prevent API throttling or rate-limiting, the backend implements a global interval controller and cache mechanism.</w:t>
      </w:r>
    </w:p>
    <w:p w14:paraId="0F575EC4" w14:textId="77777777" w:rsidR="00572246" w:rsidRDefault="00000000">
      <w:pPr>
        <w:pStyle w:val="ListBullet"/>
      </w:pPr>
      <w:r>
        <w:rPr>
          <w:b/>
          <w:color w:val="6366F1"/>
        </w:rPr>
        <w:t xml:space="preserve">Google Finance (Earnings &amp; P/E Ratios): </w:t>
      </w:r>
      <w:r>
        <w:t>Implemented a robust Cheerio-based web scraper that pulls raw HTML from Google Finance search routes. The parser identifies data-attributes (`data-attrid`) and fallback tables to dynamically extract EPS and P/E ratios.</w:t>
      </w:r>
    </w:p>
    <w:p w14:paraId="25DB4C03" w14:textId="77777777" w:rsidR="00572246" w:rsidRDefault="00000000">
      <w:pPr>
        <w:spacing w:before="240" w:after="80"/>
      </w:pPr>
      <w:r>
        <w:rPr>
          <w:b/>
          <w:color w:val="0F172A"/>
          <w:sz w:val="20"/>
        </w:rPr>
        <w:t>Table 1.1: Core API Data Integration Sources</w:t>
      </w:r>
    </w:p>
    <w:tbl>
      <w:tblPr>
        <w:tblW w:w="0" w:type="auto"/>
        <w:tblLayout w:type="fixed"/>
        <w:tblLook w:val="04A0" w:firstRow="1" w:lastRow="0" w:firstColumn="1" w:lastColumn="0" w:noHBand="0" w:noVBand="1"/>
      </w:tblPr>
      <w:tblGrid>
        <w:gridCol w:w="2592"/>
        <w:gridCol w:w="1728"/>
        <w:gridCol w:w="2592"/>
        <w:gridCol w:w="2448"/>
      </w:tblGrid>
      <w:tr w:rsidR="00572246" w14:paraId="1242A3F5" w14:textId="77777777">
        <w:tc>
          <w:tcPr>
            <w:tcW w:w="2592" w:type="dxa"/>
            <w:shd w:val="clear" w:color="auto" w:fill="6366F1"/>
            <w:tcMar>
              <w:top w:w="100" w:type="dxa"/>
              <w:left w:w="150" w:type="dxa"/>
              <w:bottom w:w="100" w:type="dxa"/>
              <w:right w:w="150" w:type="dxa"/>
            </w:tcMar>
          </w:tcPr>
          <w:p w14:paraId="68FFDB84" w14:textId="77777777" w:rsidR="00572246" w:rsidRDefault="00000000">
            <w:r>
              <w:rPr>
                <w:rFonts w:ascii="Segoe UI" w:hAnsi="Segoe UI"/>
                <w:b/>
                <w:color w:val="FFFFFF"/>
                <w:sz w:val="20"/>
              </w:rPr>
              <w:t>Asset (Example)</w:t>
            </w:r>
          </w:p>
        </w:tc>
        <w:tc>
          <w:tcPr>
            <w:tcW w:w="1728" w:type="dxa"/>
            <w:shd w:val="clear" w:color="auto" w:fill="6366F1"/>
            <w:tcMar>
              <w:top w:w="100" w:type="dxa"/>
              <w:left w:w="150" w:type="dxa"/>
              <w:bottom w:w="100" w:type="dxa"/>
              <w:right w:w="150" w:type="dxa"/>
            </w:tcMar>
          </w:tcPr>
          <w:p w14:paraId="3A953B48" w14:textId="77777777" w:rsidR="00572246" w:rsidRDefault="00000000">
            <w:r>
              <w:rPr>
                <w:rFonts w:ascii="Segoe UI" w:hAnsi="Segoe UI"/>
                <w:b/>
                <w:color w:val="FFFFFF"/>
                <w:sz w:val="20"/>
              </w:rPr>
              <w:t>Exchange Code</w:t>
            </w:r>
          </w:p>
        </w:tc>
        <w:tc>
          <w:tcPr>
            <w:tcW w:w="2592" w:type="dxa"/>
            <w:shd w:val="clear" w:color="auto" w:fill="6366F1"/>
            <w:tcMar>
              <w:top w:w="100" w:type="dxa"/>
              <w:left w:w="150" w:type="dxa"/>
              <w:bottom w:w="100" w:type="dxa"/>
              <w:right w:w="150" w:type="dxa"/>
            </w:tcMar>
          </w:tcPr>
          <w:p w14:paraId="0A101B51" w14:textId="77777777" w:rsidR="00572246" w:rsidRDefault="00000000">
            <w:r>
              <w:rPr>
                <w:rFonts w:ascii="Segoe UI" w:hAnsi="Segoe UI"/>
                <w:b/>
                <w:color w:val="FFFFFF"/>
                <w:sz w:val="20"/>
              </w:rPr>
              <w:t>Yahoo Finance Ticker</w:t>
            </w:r>
          </w:p>
        </w:tc>
        <w:tc>
          <w:tcPr>
            <w:tcW w:w="2448" w:type="dxa"/>
            <w:shd w:val="clear" w:color="auto" w:fill="6366F1"/>
            <w:tcMar>
              <w:top w:w="100" w:type="dxa"/>
              <w:left w:w="150" w:type="dxa"/>
              <w:bottom w:w="100" w:type="dxa"/>
              <w:right w:w="150" w:type="dxa"/>
            </w:tcMar>
          </w:tcPr>
          <w:p w14:paraId="26F4A3F5" w14:textId="77777777" w:rsidR="00572246" w:rsidRDefault="00000000">
            <w:r>
              <w:rPr>
                <w:rFonts w:ascii="Segoe UI" w:hAnsi="Segoe UI"/>
                <w:b/>
                <w:color w:val="FFFFFF"/>
                <w:sz w:val="20"/>
              </w:rPr>
              <w:t>Google Finance Query</w:t>
            </w:r>
          </w:p>
        </w:tc>
      </w:tr>
      <w:tr w:rsidR="00572246" w14:paraId="056D47AA" w14:textId="77777777">
        <w:tc>
          <w:tcPr>
            <w:tcW w:w="2592" w:type="dxa"/>
            <w:shd w:val="clear" w:color="auto" w:fill="F8FAFC"/>
            <w:tcMar>
              <w:top w:w="100" w:type="dxa"/>
              <w:left w:w="150" w:type="dxa"/>
              <w:bottom w:w="100" w:type="dxa"/>
              <w:right w:w="150" w:type="dxa"/>
            </w:tcMar>
          </w:tcPr>
          <w:p w14:paraId="21989917" w14:textId="77777777" w:rsidR="00572246" w:rsidRDefault="00000000">
            <w:r>
              <w:rPr>
                <w:rFonts w:ascii="Segoe UI" w:hAnsi="Segoe UI"/>
                <w:color w:val="334155"/>
                <w:sz w:val="19"/>
              </w:rPr>
              <w:t>HDFC Bank</w:t>
            </w:r>
          </w:p>
        </w:tc>
        <w:tc>
          <w:tcPr>
            <w:tcW w:w="1728" w:type="dxa"/>
            <w:shd w:val="clear" w:color="auto" w:fill="F8FAFC"/>
            <w:tcMar>
              <w:top w:w="100" w:type="dxa"/>
              <w:left w:w="150" w:type="dxa"/>
              <w:bottom w:w="100" w:type="dxa"/>
              <w:right w:w="150" w:type="dxa"/>
            </w:tcMar>
          </w:tcPr>
          <w:p w14:paraId="7635CBD6" w14:textId="77777777" w:rsidR="00572246" w:rsidRDefault="00000000">
            <w:r>
              <w:rPr>
                <w:rFonts w:ascii="Segoe UI" w:hAnsi="Segoe UI"/>
                <w:color w:val="334155"/>
                <w:sz w:val="19"/>
              </w:rPr>
              <w:t>HDFCBANK</w:t>
            </w:r>
          </w:p>
        </w:tc>
        <w:tc>
          <w:tcPr>
            <w:tcW w:w="2592" w:type="dxa"/>
            <w:shd w:val="clear" w:color="auto" w:fill="F8FAFC"/>
            <w:tcMar>
              <w:top w:w="100" w:type="dxa"/>
              <w:left w:w="150" w:type="dxa"/>
              <w:bottom w:w="100" w:type="dxa"/>
              <w:right w:w="150" w:type="dxa"/>
            </w:tcMar>
          </w:tcPr>
          <w:p w14:paraId="08D9D1B3" w14:textId="77777777" w:rsidR="00572246" w:rsidRDefault="00000000">
            <w:r>
              <w:rPr>
                <w:rFonts w:ascii="Segoe UI" w:hAnsi="Segoe UI"/>
                <w:color w:val="334155"/>
                <w:sz w:val="19"/>
              </w:rPr>
              <w:t>HDFCBANK.NS</w:t>
            </w:r>
          </w:p>
        </w:tc>
        <w:tc>
          <w:tcPr>
            <w:tcW w:w="2448" w:type="dxa"/>
            <w:shd w:val="clear" w:color="auto" w:fill="F8FAFC"/>
            <w:tcMar>
              <w:top w:w="100" w:type="dxa"/>
              <w:left w:w="150" w:type="dxa"/>
              <w:bottom w:w="100" w:type="dxa"/>
              <w:right w:w="150" w:type="dxa"/>
            </w:tcMar>
          </w:tcPr>
          <w:p w14:paraId="274E645F" w14:textId="77777777" w:rsidR="00572246" w:rsidRDefault="00000000">
            <w:r>
              <w:rPr>
                <w:rFonts w:ascii="Segoe UI" w:hAnsi="Segoe UI"/>
                <w:color w:val="334155"/>
                <w:sz w:val="19"/>
              </w:rPr>
              <w:t>NSE:HDFCBANK</w:t>
            </w:r>
          </w:p>
        </w:tc>
      </w:tr>
      <w:tr w:rsidR="00572246" w14:paraId="6FFA80A4" w14:textId="77777777">
        <w:tc>
          <w:tcPr>
            <w:tcW w:w="2592" w:type="dxa"/>
            <w:shd w:val="clear" w:color="auto" w:fill="FFFFFF"/>
            <w:tcMar>
              <w:top w:w="100" w:type="dxa"/>
              <w:left w:w="150" w:type="dxa"/>
              <w:bottom w:w="100" w:type="dxa"/>
              <w:right w:w="150" w:type="dxa"/>
            </w:tcMar>
          </w:tcPr>
          <w:p w14:paraId="4C62EC3F" w14:textId="77777777" w:rsidR="00572246" w:rsidRDefault="00000000">
            <w:r>
              <w:rPr>
                <w:rFonts w:ascii="Segoe UI" w:hAnsi="Segoe UI"/>
                <w:color w:val="334155"/>
                <w:sz w:val="19"/>
              </w:rPr>
              <w:t>Infosys</w:t>
            </w:r>
          </w:p>
        </w:tc>
        <w:tc>
          <w:tcPr>
            <w:tcW w:w="1728" w:type="dxa"/>
            <w:shd w:val="clear" w:color="auto" w:fill="FFFFFF"/>
            <w:tcMar>
              <w:top w:w="100" w:type="dxa"/>
              <w:left w:w="150" w:type="dxa"/>
              <w:bottom w:w="100" w:type="dxa"/>
              <w:right w:w="150" w:type="dxa"/>
            </w:tcMar>
          </w:tcPr>
          <w:p w14:paraId="0A0DFC2A" w14:textId="77777777" w:rsidR="00572246" w:rsidRDefault="00000000">
            <w:r>
              <w:rPr>
                <w:rFonts w:ascii="Segoe UI" w:hAnsi="Segoe UI"/>
                <w:color w:val="334155"/>
                <w:sz w:val="19"/>
              </w:rPr>
              <w:t>500209</w:t>
            </w:r>
          </w:p>
        </w:tc>
        <w:tc>
          <w:tcPr>
            <w:tcW w:w="2592" w:type="dxa"/>
            <w:shd w:val="clear" w:color="auto" w:fill="FFFFFF"/>
            <w:tcMar>
              <w:top w:w="100" w:type="dxa"/>
              <w:left w:w="150" w:type="dxa"/>
              <w:bottom w:w="100" w:type="dxa"/>
              <w:right w:w="150" w:type="dxa"/>
            </w:tcMar>
          </w:tcPr>
          <w:p w14:paraId="558F917A" w14:textId="77777777" w:rsidR="00572246" w:rsidRDefault="00000000">
            <w:r>
              <w:rPr>
                <w:rFonts w:ascii="Segoe UI" w:hAnsi="Segoe UI"/>
                <w:color w:val="334155"/>
                <w:sz w:val="19"/>
              </w:rPr>
              <w:t>INFY.NS</w:t>
            </w:r>
          </w:p>
        </w:tc>
        <w:tc>
          <w:tcPr>
            <w:tcW w:w="2448" w:type="dxa"/>
            <w:shd w:val="clear" w:color="auto" w:fill="FFFFFF"/>
            <w:tcMar>
              <w:top w:w="100" w:type="dxa"/>
              <w:left w:w="150" w:type="dxa"/>
              <w:bottom w:w="100" w:type="dxa"/>
              <w:right w:w="150" w:type="dxa"/>
            </w:tcMar>
          </w:tcPr>
          <w:p w14:paraId="7FCCD453" w14:textId="77777777" w:rsidR="00572246" w:rsidRDefault="00000000">
            <w:r>
              <w:rPr>
                <w:rFonts w:ascii="Segoe UI" w:hAnsi="Segoe UI"/>
                <w:color w:val="334155"/>
                <w:sz w:val="19"/>
              </w:rPr>
              <w:t>NSE:INFY</w:t>
            </w:r>
          </w:p>
        </w:tc>
      </w:tr>
      <w:tr w:rsidR="00572246" w14:paraId="003CEF60" w14:textId="77777777">
        <w:tc>
          <w:tcPr>
            <w:tcW w:w="2592" w:type="dxa"/>
            <w:shd w:val="clear" w:color="auto" w:fill="F8FAFC"/>
            <w:tcMar>
              <w:top w:w="100" w:type="dxa"/>
              <w:left w:w="150" w:type="dxa"/>
              <w:bottom w:w="100" w:type="dxa"/>
              <w:right w:w="150" w:type="dxa"/>
            </w:tcMar>
          </w:tcPr>
          <w:p w14:paraId="78260398" w14:textId="77777777" w:rsidR="00572246" w:rsidRDefault="00000000">
            <w:r>
              <w:rPr>
                <w:rFonts w:ascii="Segoe UI" w:hAnsi="Segoe UI"/>
                <w:color w:val="334155"/>
                <w:sz w:val="19"/>
              </w:rPr>
              <w:t>Happiest Minds</w:t>
            </w:r>
          </w:p>
        </w:tc>
        <w:tc>
          <w:tcPr>
            <w:tcW w:w="1728" w:type="dxa"/>
            <w:shd w:val="clear" w:color="auto" w:fill="F8FAFC"/>
            <w:tcMar>
              <w:top w:w="100" w:type="dxa"/>
              <w:left w:w="150" w:type="dxa"/>
              <w:bottom w:w="100" w:type="dxa"/>
              <w:right w:w="150" w:type="dxa"/>
            </w:tcMar>
          </w:tcPr>
          <w:p w14:paraId="6564CD56" w14:textId="77777777" w:rsidR="00572246" w:rsidRDefault="00000000">
            <w:r>
              <w:rPr>
                <w:rFonts w:ascii="Segoe UI" w:hAnsi="Segoe UI"/>
                <w:color w:val="334155"/>
                <w:sz w:val="19"/>
              </w:rPr>
              <w:t>543237</w:t>
            </w:r>
          </w:p>
        </w:tc>
        <w:tc>
          <w:tcPr>
            <w:tcW w:w="2592" w:type="dxa"/>
            <w:shd w:val="clear" w:color="auto" w:fill="F8FAFC"/>
            <w:tcMar>
              <w:top w:w="100" w:type="dxa"/>
              <w:left w:w="150" w:type="dxa"/>
              <w:bottom w:w="100" w:type="dxa"/>
              <w:right w:w="150" w:type="dxa"/>
            </w:tcMar>
          </w:tcPr>
          <w:p w14:paraId="67264477" w14:textId="77777777" w:rsidR="00572246" w:rsidRDefault="00000000">
            <w:r>
              <w:rPr>
                <w:rFonts w:ascii="Segoe UI" w:hAnsi="Segoe UI"/>
                <w:color w:val="334155"/>
                <w:sz w:val="19"/>
              </w:rPr>
              <w:t>HAPPIESTMIN.NS</w:t>
            </w:r>
          </w:p>
        </w:tc>
        <w:tc>
          <w:tcPr>
            <w:tcW w:w="2448" w:type="dxa"/>
            <w:shd w:val="clear" w:color="auto" w:fill="F8FAFC"/>
            <w:tcMar>
              <w:top w:w="100" w:type="dxa"/>
              <w:left w:w="150" w:type="dxa"/>
              <w:bottom w:w="100" w:type="dxa"/>
              <w:right w:w="150" w:type="dxa"/>
            </w:tcMar>
          </w:tcPr>
          <w:p w14:paraId="421D7C78" w14:textId="77777777" w:rsidR="00572246" w:rsidRDefault="00000000">
            <w:r>
              <w:rPr>
                <w:rFonts w:ascii="Segoe UI" w:hAnsi="Segoe UI"/>
                <w:color w:val="334155"/>
                <w:sz w:val="19"/>
              </w:rPr>
              <w:t>NSE:HAPPIESTMIN</w:t>
            </w:r>
          </w:p>
        </w:tc>
      </w:tr>
    </w:tbl>
    <w:p w14:paraId="3CB7D8F1" w14:textId="77777777" w:rsidR="00572246" w:rsidRDefault="00000000">
      <w:pPr>
        <w:pStyle w:val="Heading1"/>
        <w:spacing w:before="400" w:after="120"/>
      </w:pPr>
      <w:r>
        <w:rPr>
          <w:rFonts w:ascii="Segoe UI" w:hAnsi="Segoe UI"/>
          <w:color w:val="0F172A"/>
          <w:sz w:val="32"/>
        </w:rPr>
        <w:lastRenderedPageBreak/>
        <w:t>2. Key Technical Challenges &amp; Resolutions</w:t>
      </w:r>
    </w:p>
    <w:p w14:paraId="740A6FB0" w14:textId="77777777" w:rsidR="00572246" w:rsidRDefault="00000000">
      <w:pPr>
        <w:spacing w:before="160" w:after="40"/>
      </w:pPr>
      <w:r>
        <w:rPr>
          <w:rFonts w:ascii="Segoe UI" w:hAnsi="Segoe UI"/>
          <w:b/>
          <w:color w:val="6366F1"/>
        </w:rPr>
        <w:t xml:space="preserve">■ Static vs. Dynamic Data Architecture: </w:t>
      </w:r>
      <w:r>
        <w:rPr>
          <w:rFonts w:ascii="Segoe UI" w:hAnsi="Segoe UI"/>
          <w:color w:val="334155"/>
        </w:rPr>
        <w:t>Mixing hardcoded financial metrics (like EBITDA, margins, and stage trends) with live values in the backend database creates severe maintenance and data integrity risks. We solved this by completely decoupling static portfolio definitions from dynamic market data. The database configuration (holdings.ts) stores only immutable parameters (purchase price, quantity, exchange, sector, name), while all volatile metrics (Market Cap, Book Value, P/B, Day Range, 52-Week Range, P/E, EPS) are fetched live from Yahoo/Google Finance APIs at runtime.</w:t>
      </w:r>
    </w:p>
    <w:p w14:paraId="4F6BAEDE" w14:textId="77777777" w:rsidR="00572246" w:rsidRDefault="00000000">
      <w:pPr>
        <w:spacing w:before="160" w:after="40"/>
      </w:pPr>
      <w:r>
        <w:rPr>
          <w:rFonts w:ascii="Segoe UI" w:hAnsi="Segoe UI"/>
          <w:b/>
          <w:color w:val="6366F1"/>
        </w:rPr>
        <w:t xml:space="preserve">■ Fast O(1) Hash Map Lookups: </w:t>
      </w:r>
      <w:r>
        <w:rPr>
          <w:rFonts w:ascii="Segoe UI" w:hAnsi="Segoe UI"/>
          <w:color w:val="334155"/>
        </w:rPr>
        <w:t>Merging static holdings data with dynamic pricing and fundamental feeds can lead to O(N^2) array scanning loops on every polling tick. To reduce frontend calculation time and guarantee sub-millisecond response times, the backend formats dynamic feeds as key-value hash maps indexed by stock tickers. The client-side hook (usePortfolio) merges live values in O(1) constant time, eliminating CPU bottlenecks and client-side rendering delay.</w:t>
      </w:r>
    </w:p>
    <w:p w14:paraId="71206545" w14:textId="77777777" w:rsidR="00572246" w:rsidRDefault="00000000">
      <w:pPr>
        <w:spacing w:before="160" w:after="40"/>
      </w:pPr>
      <w:r>
        <w:rPr>
          <w:rFonts w:ascii="Segoe UI" w:hAnsi="Segoe UI"/>
          <w:b/>
          <w:color w:val="6366F1"/>
        </w:rPr>
        <w:t xml:space="preserve">■ Row-Level Memoization &amp; Decoupled Polling: </w:t>
      </w:r>
      <w:r>
        <w:rPr>
          <w:rFonts w:ascii="Segoe UI" w:hAnsi="Segoe UI"/>
          <w:color w:val="334155"/>
        </w:rPr>
        <w:t>Triggering total table re-renders on every 15-second price tick causes layout shifts and high CPU usage. We resolved this by wrapping the StockRow component in React.memo (preventing redraws for unchanged rows), decoupling polling frequencies (15s for volatile prices, 1h for stable fundamentals), and utilizing non-blocking React state transitions.</w:t>
      </w:r>
    </w:p>
    <w:p w14:paraId="02D9F41E" w14:textId="77777777" w:rsidR="00572246" w:rsidRDefault="00000000">
      <w:pPr>
        <w:spacing w:before="160" w:after="40"/>
      </w:pPr>
      <w:r>
        <w:rPr>
          <w:rFonts w:ascii="Segoe UI" w:hAnsi="Segoe UI"/>
          <w:b/>
          <w:color w:val="6366F1"/>
        </w:rPr>
        <w:t xml:space="preserve">■ Rate Limiting and Throttling: </w:t>
      </w:r>
      <w:r>
        <w:rPr>
          <w:rFonts w:ascii="Segoe UI" w:hAnsi="Segoe UI"/>
          <w:color w:val="334155"/>
        </w:rPr>
        <w:t>Public finance pages block scrapers and unofficial API clients if hammered too frequently. We implemented memory-bound caching (15 seconds TTL for prices, 1 hour TTL for fundamentals) coupled with request batch throttling (concurrency constraints) to guarantee 100% scraper uptime and prevent IP bans.</w:t>
      </w:r>
    </w:p>
    <w:p w14:paraId="7E76D3AC" w14:textId="77777777" w:rsidR="00572246" w:rsidRDefault="00000000">
      <w:pPr>
        <w:spacing w:before="160" w:after="40"/>
      </w:pPr>
      <w:r>
        <w:rPr>
          <w:rFonts w:ascii="Segoe UI" w:hAnsi="Segoe UI"/>
          <w:b/>
          <w:color w:val="6366F1"/>
        </w:rPr>
        <w:t xml:space="preserve">■ Next.js Hydration &amp; Recharts Size Failures: </w:t>
      </w:r>
      <w:r>
        <w:rPr>
          <w:rFonts w:ascii="Segoe UI" w:hAnsi="Segoe UI"/>
          <w:color w:val="334155"/>
        </w:rPr>
        <w:t>Recharts' ResponsiveContainer measures parent heights on mount, triggering console warnings ('width(-1) and height(-1)...') during initial rendering phases. We solved this by implementing a custom `useResizeObserver` React hook that tracks the viewport dimensions of the parent div container. By directly passing absolute height/width to the underlying PieChart and BarChart components, we resolved 100% of console warning messages while keeping the layouts responsive.</w:t>
      </w:r>
    </w:p>
    <w:p w14:paraId="2FA37735" w14:textId="77777777" w:rsidR="00572246" w:rsidRDefault="00000000">
      <w:pPr>
        <w:spacing w:before="160" w:after="40"/>
      </w:pPr>
      <w:r>
        <w:rPr>
          <w:rFonts w:ascii="Segoe UI" w:hAnsi="Segoe UI"/>
          <w:b/>
          <w:color w:val="6366F1"/>
        </w:rPr>
        <w:t xml:space="preserve">■ Mobile Layout &amp; Header Overflow: </w:t>
      </w:r>
      <w:r>
        <w:rPr>
          <w:rFonts w:ascii="Segoe UI" w:hAnsi="Segoe UI"/>
          <w:color w:val="334155"/>
        </w:rPr>
        <w:t>The fundamentals and live price indicator pills inside the navigation bar overflowed the screen on mobile devices. This was resolved by applying responsive CSS design tokens (`hidden sm:inline`, `hidden md:inline`). On mobile screen widths, the display falls back to a minimal status dot and sync trigger, while larger tablet/desktop dimensions render the full metrics.</w:t>
      </w:r>
    </w:p>
    <w:p w14:paraId="63D47C57" w14:textId="77777777" w:rsidR="00572246" w:rsidRDefault="00000000">
      <w:pPr>
        <w:pStyle w:val="Heading1"/>
        <w:spacing w:before="400" w:after="120"/>
      </w:pPr>
      <w:r>
        <w:rPr>
          <w:rFonts w:ascii="Segoe UI" w:hAnsi="Segoe UI"/>
          <w:color w:val="0F172A"/>
          <w:sz w:val="32"/>
        </w:rPr>
        <w:lastRenderedPageBreak/>
        <w:t>3. Performance, Security, and Quality Assurance</w:t>
      </w:r>
    </w:p>
    <w:p w14:paraId="69B3101C" w14:textId="77777777" w:rsidR="00572246" w:rsidRDefault="00000000">
      <w:r>
        <w:rPr>
          <w:rFonts w:ascii="Segoe UI" w:hAnsi="Segoe UI"/>
          <w:color w:val="334155"/>
        </w:rPr>
        <w:t>To build a state-of-the-art product, multiple engineering checkpoints were incorporated:</w:t>
      </w:r>
    </w:p>
    <w:p w14:paraId="157E01B4" w14:textId="77777777" w:rsidR="00572246" w:rsidRDefault="00000000">
      <w:pPr>
        <w:pStyle w:val="ListBullet"/>
        <w:spacing w:after="60"/>
      </w:pPr>
      <w:r>
        <w:rPr>
          <w:b/>
          <w:color w:val="6366F1"/>
        </w:rPr>
        <w:t xml:space="preserve">Strict Environment Segregation: </w:t>
      </w:r>
      <w:r>
        <w:t>Sensitive scraper details, timeouts, and CORS domains are strictly managed via dotenv files. No secrets or backend ports are exposed inside client bundles.</w:t>
      </w:r>
    </w:p>
    <w:p w14:paraId="1E140FB7" w14:textId="77777777" w:rsidR="00572246" w:rsidRDefault="00000000">
      <w:pPr>
        <w:pStyle w:val="ListBullet"/>
        <w:spacing w:after="60"/>
      </w:pPr>
      <w:r>
        <w:rPr>
          <w:b/>
          <w:color w:val="6366F1"/>
        </w:rPr>
        <w:t xml:space="preserve">React Render Cycle Optimizations: </w:t>
      </w:r>
      <w:r>
        <w:t>Using timeouts in useEffect to batch state commits. This satisfies strict rendering standards, preventing layout shifting and unnecessary refetch rendering loops.</w:t>
      </w:r>
    </w:p>
    <w:p w14:paraId="02AB913D" w14:textId="77777777" w:rsidR="00572246" w:rsidRDefault="00000000">
      <w:pPr>
        <w:pStyle w:val="ListBullet"/>
        <w:spacing w:after="60"/>
      </w:pPr>
      <w:r>
        <w:rPr>
          <w:b/>
          <w:color w:val="6366F1"/>
        </w:rPr>
        <w:t xml:space="preserve">Dynamic Data Separation: </w:t>
      </w:r>
      <w:r>
        <w:t>Completely stripped dynamic Excel columns from the database store, relying purely on live APIs for current market statistics.</w:t>
      </w:r>
    </w:p>
    <w:p w14:paraId="0AEF75A7" w14:textId="77777777" w:rsidR="00572246" w:rsidRDefault="00000000">
      <w:pPr>
        <w:pStyle w:val="ListBullet"/>
        <w:spacing w:after="60"/>
      </w:pPr>
      <w:r>
        <w:rPr>
          <w:b/>
          <w:color w:val="6366F1"/>
        </w:rPr>
        <w:t xml:space="preserve">Comprehensive Test Suite: </w:t>
      </w:r>
      <w:r>
        <w:t>The system includes Jest unit and integration tests (Supertest) verifying config boundaries, routing integrity, and scraper safety, resulting in 46/46 passing tests.</w:t>
      </w:r>
    </w:p>
    <w:sectPr w:rsidR="0057224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58345">
    <w:abstractNumId w:val="8"/>
  </w:num>
  <w:num w:numId="2" w16cid:durableId="249972316">
    <w:abstractNumId w:val="6"/>
  </w:num>
  <w:num w:numId="3" w16cid:durableId="408036979">
    <w:abstractNumId w:val="5"/>
  </w:num>
  <w:num w:numId="4" w16cid:durableId="1615284244">
    <w:abstractNumId w:val="4"/>
  </w:num>
  <w:num w:numId="5" w16cid:durableId="1818758616">
    <w:abstractNumId w:val="7"/>
  </w:num>
  <w:num w:numId="6" w16cid:durableId="426999107">
    <w:abstractNumId w:val="3"/>
  </w:num>
  <w:num w:numId="7" w16cid:durableId="1677877011">
    <w:abstractNumId w:val="2"/>
  </w:num>
  <w:num w:numId="8" w16cid:durableId="839471247">
    <w:abstractNumId w:val="1"/>
  </w:num>
  <w:num w:numId="9" w16cid:durableId="13376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A63"/>
    <w:rsid w:val="0029639D"/>
    <w:rsid w:val="00326F90"/>
    <w:rsid w:val="00572246"/>
    <w:rsid w:val="005F17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D761E"/>
  <w14:defaultImageDpi w14:val="300"/>
  <w15:docId w15:val="{99F72EF3-357B-41EB-AC78-69097AEB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C</cp:lastModifiedBy>
  <cp:revision>2</cp:revision>
  <dcterms:created xsi:type="dcterms:W3CDTF">2013-12-23T23:15:00Z</dcterms:created>
  <dcterms:modified xsi:type="dcterms:W3CDTF">2026-06-24T14:35:00Z</dcterms:modified>
  <cp:category/>
</cp:coreProperties>
</file>