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AASHA AIOS</w:t>
        <w:br/>
        <w:t>ANTIGRAVITY + HIL CONTROL SPECIFICATION</w:t>
      </w:r>
    </w:p>
    <w:p>
      <w:pPr>
        <w:jc w:val="center"/>
      </w:pPr>
      <w:r>
        <w:rPr>
          <w:i/>
        </w:rPr>
        <w:t>Evidence-tagged target architecture, governance contract, migration path and BETA acceptance gates</w:t>
      </w:r>
    </w:p>
    <w:p>
      <w:pPr>
        <w:jc w:val="center"/>
      </w:pPr>
      <w:r>
        <w:rPr>
          <w:b/>
        </w:rPr>
        <w:t>Status: DESIGN / PROPOSED — IMPLEMENTATION GATE CLOSED</w:t>
      </w:r>
    </w:p>
    <w:p>
      <w:pPr>
        <w:pStyle w:val="Heading1"/>
      </w:pPr>
      <w:r>
        <w:t>0. Executive Control Statement</w:t>
      </w:r>
    </w:p>
    <w:p>
      <w:r>
        <w:t>This document is the handoff specification for Antigravity AIOS/HIL. It is intentionally not an implementation plan or permission to modify the repository. The repository is evidence; this architecture is the approved design direction only after explicit review.</w:t>
      </w:r>
    </w:p>
    <w:p>
      <w:r>
        <w:t>Hard rule: do not convert a legacy artifact, plugin, renderer, agent output, documentation claim, or experimental file into Canonical IR authority merely because it exists.</w:t>
      </w:r>
    </w:p>
    <w:p>
      <w:pPr>
        <w:pStyle w:val="Heading1"/>
      </w:pPr>
      <w:r>
        <w:t>1. Evidence Classification</w:t>
      </w:r>
    </w:p>
    <w:p>
      <w:pPr>
        <w:pStyle w:val="ListBullet"/>
      </w:pPr>
      <w:r>
        <w:t>VERIFIED: directly evidenced in the repository during forensic review.</w:t>
      </w:r>
    </w:p>
    <w:p>
      <w:pPr>
        <w:pStyle w:val="ListBullet"/>
      </w:pPr>
      <w:r>
        <w:t>PROPOSED: architectural target derived from the locked design decisions Q1–Q100.</w:t>
      </w:r>
    </w:p>
    <w:p>
      <w:pPr>
        <w:pStyle w:val="ListBullet"/>
      </w:pPr>
      <w:r>
        <w:t>EXPERIMENTAL / LEGACY / ARCHIVED: existing material that may be mined for algorithms, UX, tests or assets but is not authoritative.</w:t>
      </w:r>
    </w:p>
    <w:p>
      <w:pPr>
        <w:pStyle w:val="ListBullet"/>
      </w:pPr>
      <w:r>
        <w:t>UNKNOWN: insufficient evidence; investigate before relying on it.</w:t>
      </w:r>
    </w:p>
    <w:p>
      <w:r>
        <w:t>Important evidence gap: the previously requested 23-page/block-level product audit artifact was not recoverable from the available repository/library evidence. Therefore no page names, block findings, or visual conclusions are fabricated here. When that audit is supplied, it must be merged into this control specification before page-level implementation decisions.</w:t>
      </w:r>
    </w:p>
    <w:p>
      <w:pPr>
        <w:pStyle w:val="Heading1"/>
      </w:pPr>
      <w:r>
        <w:t>2. Canonical Product → Experience → Runtime Path</w:t>
      </w:r>
    </w:p>
    <w:p>
      <w:r>
        <w:rPr>
          <w:rFonts w:ascii="Consolas" w:hAnsi="Consolas"/>
          <w:sz w:val="17"/>
        </w:rPr>
        <w:t>SOURCE BOOK</w:t>
        <w:br/>
        <w:t xml:space="preserve">  ↓</w:t>
        <w:br/>
        <w:t>MULTI-AGENT UNDERSTANDING</w:t>
        <w:br/>
        <w:t xml:space="preserve">  ↓</w:t>
        <w:br/>
        <w:t>specialist artifacts</w:t>
        <w:br/>
        <w:t xml:space="preserve">  ↓</w:t>
        <w:br/>
        <w:t>IR ASSEMBLER</w:t>
        <w:br/>
        <w:t xml:space="preserve">  ↓</w:t>
        <w:br/>
        <w:t>CANONICAL PROTOTYPE IR</w:t>
        <w:br/>
        <w:t xml:space="preserve">  ├──→ V5 Compiler → chapter_spec → frozen V5 HTML5</w:t>
        <w:br/>
        <w:t xml:space="preserve">  └──→ V6 Compiler → Stateful V6 Experience Runtime</w:t>
        <w:br/>
        <w:t xml:space="preserve">                         ↓</w:t>
        <w:br/>
        <w:t xml:space="preserve">                  Capability Resolver</w:t>
        <w:br/>
        <w:t xml:space="preserve">                         ↓</w:t>
        <w:br/>
        <w:t xml:space="preserve">          Capability / Pattern / Asset Registries</w:t>
        <w:br/>
        <w:t xml:space="preserve">                         ↓</w:t>
        <w:br/>
        <w:t xml:space="preserve">                    Sandboxed Adapters</w:t>
        <w:br/>
        <w:t xml:space="preserve">                         ↓</w:t>
        <w:br/>
        <w:t xml:space="preserve">                  Semantic Event Bus</w:t>
        <w:br/>
        <w:t xml:space="preserve">                    ↙             ↘</w:t>
        <w:br/>
        <w:t xml:space="preserve">             Evidence Ledger   Learner State</w:t>
        <w:br/>
        <w:t xml:space="preserve">                    ↘             ↙</w:t>
        <w:br/>
        <w:t xml:space="preserve">                     Mastery/Adaptation</w:t>
        <w:br/>
        <w:t xml:space="preserve">                           ↓</w:t>
        <w:br/>
        <w:t xml:space="preserve">                     Verification/QA</w:t>
        <w:br/>
        <w:t xml:space="preserve">                           ↓</w:t>
        <w:br/>
        <w:t xml:space="preserve">                      VERIFIED BUILD</w:t>
        <w:br/>
        <w:t xml:space="preserve">                           ↓</w:t>
        <w:br/>
        <w:t xml:space="preserve">                           HIL</w:t>
      </w:r>
    </w:p>
    <w:p>
      <w:pPr>
        <w:pStyle w:val="Heading1"/>
      </w:pPr>
      <w:r>
        <w:t>3. Verified Repository Baseline</w:t>
      </w:r>
    </w:p>
    <w:p>
      <w:pPr>
        <w:pStyle w:val="ListBullet"/>
      </w:pPr>
      <w:r>
        <w:t>Aasha-AIOS/AGENTS.md establishes multi-agent governance, four-layer architecture, learner protection, portability/offline constraints and QA/HIL escalation.</w:t>
      </w:r>
    </w:p>
    <w:p>
      <w:pPr>
        <w:pStyle w:val="ListBullet"/>
      </w:pPr>
      <w:r>
        <w:t>The chapter pipeline is split into IngestAgent, AnalysisAgent, DesignAgent, AssessmentAgent, LLEAgent and QAAgent; agents communicate through files.</w:t>
      </w:r>
    </w:p>
    <w:p>
      <w:pPr>
        <w:pStyle w:val="ListBullet"/>
      </w:pPr>
      <w:r>
        <w:t>layer-1-core/agent_bus/agent_bus.py provides a file-backed orchestration bus with lifecycle and domain events.</w:t>
      </w:r>
    </w:p>
    <w:p>
      <w:pPr>
        <w:pStyle w:val="ListBullet"/>
      </w:pPr>
      <w:r>
        <w:t>The current v5 chapter_spec schema is explicitly an intermediate JSON consumed by the HTML assembler and is renderer/runtime oriented. It is not the desired semantic Canonical IR.</w:t>
      </w:r>
    </w:p>
    <w:p>
      <w:pPr>
        <w:pStyle w:val="ListBullet"/>
      </w:pPr>
      <w:r>
        <w:t>Existing plugin infrastructure has a PluginRegistry/InteractionPlugin contract and a documented inventory of about 12 plugins. The target registry is open-ended; 20 is not a repository limit.</w:t>
      </w:r>
    </w:p>
    <w:p>
      <w:pPr>
        <w:pStyle w:val="ListBullet"/>
      </w:pPr>
      <w:r>
        <w:t>PROVENANCE.md records licensing constraints including sandbox-only treatment for PhET and reference-only treatment for GeoGebra. Other repository documents may contradict this; the provenance policy must be treated as the authority until reconciled.</w:t>
      </w:r>
    </w:p>
    <w:p>
      <w:pPr>
        <w:pStyle w:val="ListBullet"/>
      </w:pPr>
      <w:r>
        <w:t>The existing QA harness performs syntax, structure, rendering, flow, critical-rule and synthesis checks. This should be preserved and extended rather than discarded.</w:t>
      </w:r>
    </w:p>
    <w:p>
      <w:pPr>
        <w:pStyle w:val="ListBullet"/>
      </w:pPr>
      <w:r>
        <w:t>The LLE layer already exists as a separate language-realization component and should be reused/adapted.</w:t>
      </w:r>
    </w:p>
    <w:p>
      <w:pPr>
        <w:pStyle w:val="ListBullet"/>
      </w:pPr>
      <w:r>
        <w:t>V5 is frozen and should remain a compatibility/baseline renderer, not become the V6 design language.</w:t>
      </w:r>
    </w:p>
    <w:p>
      <w:pPr>
        <w:pStyle w:val="Heading1"/>
      </w:pPr>
      <w:r>
        <w:t>4. Canonical Prototype IR Contract</w:t>
      </w:r>
    </w:p>
    <w:p>
      <w:r>
        <w:t>One chapter/experience package has one authoritative normalized Canonical Prototype IR. YAML is the human/AI authoring DSL; YAML→IR is deterministic. Specialist agent artifacts remain inspectable inputs and evidence, but none is the canonical source of truth.</w:t>
      </w:r>
    </w:p>
    <w:p>
      <w:pPr>
        <w:pStyle w:val="ListBullet"/>
      </w:pPr>
      <w:r>
        <w:t>Learning objectives with stable IDs and objective→evidence→success contracts.</w:t>
      </w:r>
    </w:p>
    <w:p>
      <w:pPr>
        <w:pStyle w:val="ListBullet"/>
      </w:pPr>
      <w:r>
        <w:t>Global concept graph and stable concept identities.</w:t>
      </w:r>
    </w:p>
    <w:p>
      <w:pPr>
        <w:pStyle w:val="ListBullet"/>
      </w:pPr>
      <w:r>
        <w:t>First-class misconception entities with observable signals, confidence and remediation.</w:t>
      </w:r>
    </w:p>
    <w:p>
      <w:pPr>
        <w:pStyle w:val="ListBullet"/>
      </w:pPr>
      <w:r>
        <w:t>Typed, language-neutral canonical content with claim-level provenance/fidelity.</w:t>
      </w:r>
    </w:p>
    <w:p>
      <w:pPr>
        <w:pStyle w:val="ListBullet"/>
      </w:pPr>
      <w:r>
        <w:t>Pedagogical strategy and rationale.</w:t>
      </w:r>
    </w:p>
    <w:p>
      <w:pPr>
        <w:pStyle w:val="ListBullet"/>
      </w:pPr>
      <w:r>
        <w:t>Experience Graph with states, transitions, choices, conditions and learning consequences.</w:t>
      </w:r>
    </w:p>
    <w:p>
      <w:pPr>
        <w:pStyle w:val="ListBullet"/>
      </w:pPr>
      <w:r>
        <w:t>Global + experience-specific Visual Grammar.</w:t>
      </w:r>
    </w:p>
    <w:p>
      <w:pPr>
        <w:pStyle w:val="ListBullet"/>
      </w:pPr>
      <w:r>
        <w:t>Learner Agency Contract.</w:t>
      </w:r>
    </w:p>
    <w:p>
      <w:pPr>
        <w:pStyle w:val="ListBullet"/>
      </w:pPr>
      <w:r>
        <w:t>Assessment Intent → Evidence Contract → Task Generation.</w:t>
      </w:r>
    </w:p>
    <w:p>
      <w:pPr>
        <w:pStyle w:val="ListBullet"/>
      </w:pPr>
      <w:r>
        <w:t>Adaptive Policy Envelope: adaptive execution without adaptive semantic improvisation.</w:t>
      </w:r>
    </w:p>
    <w:p>
      <w:pPr>
        <w:pStyle w:val="ListBullet"/>
      </w:pPr>
      <w:r>
        <w:t>Motivation/gamification intent rather than renderer-specific reward mechanics.</w:t>
      </w:r>
    </w:p>
    <w:p>
      <w:pPr>
        <w:pStyle w:val="ListBullet"/>
      </w:pPr>
      <w:r>
        <w:t>Accessibility and developmental/device design envelope; baseline target is modern mid-range devices with minimum 4 GB RAM.</w:t>
      </w:r>
    </w:p>
    <w:p>
      <w:pPr>
        <w:pStyle w:val="ListBullet"/>
      </w:pPr>
      <w:r>
        <w:t>Asset intent plus provenance/license contract.</w:t>
      </w:r>
    </w:p>
    <w:p>
      <w:pPr>
        <w:pStyle w:val="ListBullet"/>
      </w:pPr>
      <w:r>
        <w:t>Capability requirements without naming implementation technologies.</w:t>
      </w:r>
    </w:p>
    <w:p>
      <w:pPr>
        <w:pStyle w:val="ListBullet"/>
      </w:pPr>
      <w:r>
        <w:t>Experience Acceptance Contract and machine-readable verification requirements.</w:t>
      </w:r>
    </w:p>
    <w:p>
      <w:pPr>
        <w:pStyle w:val="ListBullet"/>
      </w:pPr>
      <w:r>
        <w:t>Versioning, lineage and immutable compilation manifest references.</w:t>
      </w:r>
    </w:p>
    <w:p>
      <w:pPr>
        <w:pStyle w:val="Heading1"/>
      </w:pPr>
      <w:r>
        <w:t>5. Semantic Identity and Lineage</w:t>
      </w:r>
    </w:p>
    <w:p>
      <w:pPr>
        <w:pStyle w:val="ListBullet"/>
      </w:pPr>
      <w:r>
        <w:t>Use stable opaque IDs with typed namespaces: objective, concept, misconception, content, experience, evidence, capability, asset, pattern.</w:t>
      </w:r>
    </w:p>
    <w:p>
      <w:pPr>
        <w:pStyle w:val="ListBullet"/>
      </w:pPr>
      <w:r>
        <w:t>Preserve identity across reordering, redesign, localization, V5/V6 compilation and capability replacement.</w:t>
      </w:r>
    </w:p>
    <w:p>
      <w:pPr>
        <w:pStyle w:val="ListBullet"/>
      </w:pPr>
      <w:r>
        <w:t>Record derived_from, split_from, merged_from, replaced_by, supersedes and equivalent_to lineage explicitly.</w:t>
      </w:r>
    </w:p>
    <w:p>
      <w:pPr>
        <w:pStyle w:val="ListBullet"/>
      </w:pPr>
      <w:r>
        <w:t>Use dependency graphs for impact analysis and targeted regeneration; do not blindly regenerate whole chapters.</w:t>
      </w:r>
    </w:p>
    <w:p>
      <w:pPr>
        <w:pStyle w:val="Heading1"/>
      </w:pPr>
      <w:r>
        <w:t>6. Agent + IR Assembler Governance</w:t>
      </w:r>
    </w:p>
    <w:p>
      <w:r>
        <w:t>Specialist agents propose domain artifacts. A dedicated IR Assembler deterministically normalizes them, resolves IDs, merges semantics, attaches provenance, validates invariants and detects conflicts. It must not invent missing pedagogy.</w:t>
      </w:r>
    </w:p>
    <w:p>
      <w:pPr>
        <w:pStyle w:val="ListBullet"/>
      </w:pPr>
      <w:r>
        <w:t>Authority is domain-based, not last-write-wins.</w:t>
      </w:r>
    </w:p>
    <w:p>
      <w:pPr>
        <w:pStyle w:val="ListBullet"/>
      </w:pPr>
      <w:r>
        <w:t>Source facts → source/Ingest authority.</w:t>
      </w:r>
    </w:p>
    <w:p>
      <w:pPr>
        <w:pStyle w:val="ListBullet"/>
      </w:pPr>
      <w:r>
        <w:t>Concepts/dependencies → Analysis authority.</w:t>
      </w:r>
    </w:p>
    <w:p>
      <w:pPr>
        <w:pStyle w:val="ListBullet"/>
      </w:pPr>
      <w:r>
        <w:t>Pedagogy/experience → Design authority.</w:t>
      </w:r>
    </w:p>
    <w:p>
      <w:pPr>
        <w:pStyle w:val="ListBullet"/>
      </w:pPr>
      <w:r>
        <w:t>Assessment/distractors/diagnosis → Assessment authority.</w:t>
      </w:r>
    </w:p>
    <w:p>
      <w:pPr>
        <w:pStyle w:val="ListBullet"/>
      </w:pPr>
      <w:r>
        <w:t>Language realization → LLE authority.</w:t>
      </w:r>
    </w:p>
    <w:p>
      <w:pPr>
        <w:pStyle w:val="ListBullet"/>
      </w:pPr>
      <w:r>
        <w:t>Technical feasibility → Capability/Compiler authority.</w:t>
      </w:r>
    </w:p>
    <w:p>
      <w:pPr>
        <w:pStyle w:val="ListBullet"/>
      </w:pPr>
      <w:r>
        <w:t>Safety, privacy, accessibility and release gates → Policy/QA authority.</w:t>
      </w:r>
    </w:p>
    <w:p>
      <w:pPr>
        <w:pStyle w:val="ListBullet"/>
      </w:pPr>
      <w:r>
        <w:t>Unresolved authoritative conflict triggers resolution/regeneration; the assembler must not guess.</w:t>
      </w:r>
    </w:p>
    <w:p>
      <w:pPr>
        <w:pStyle w:val="ListBullet"/>
      </w:pPr>
      <w:r>
        <w:t>LLMs generate proposals. Deterministic compiler passes establish canonical truth.</w:t>
      </w:r>
    </w:p>
    <w:p>
      <w:pPr>
        <w:pStyle w:val="Heading1"/>
      </w:pPr>
      <w:r>
        <w:t>7. Capability System</w:t>
      </w:r>
    </w:p>
    <w:p>
      <w:r>
        <w:t>The IR expresses semantic capability requirements, never vendor/tool names. Resolver selection is deterministic at the hard-constraint layer and evidence-driven at the ranking layer.</w:t>
      </w:r>
    </w:p>
    <w:p>
      <w:pPr>
        <w:pStyle w:val="ListBullet"/>
      </w:pPr>
      <w:r>
        <w:t>Evaluate semantic fit, interaction fit, pedagogical fit, visual fit, accessibility, device/performance, provenance/security, reliability, maintenance and integration cost.</w:t>
      </w:r>
    </w:p>
    <w:p>
      <w:pPr>
        <w:pStyle w:val="ListBullet"/>
      </w:pPr>
      <w:r>
        <w:t>Lifecycle: discover → assess → reuse/adapt/compose/build → verify → register → reuse.</w:t>
      </w:r>
    </w:p>
    <w:p>
      <w:pPr>
        <w:pStyle w:val="ListBullet"/>
      </w:pPr>
      <w:r>
        <w:t>Missing capability engineering is autonomous by default.</w:t>
      </w:r>
    </w:p>
    <w:p>
      <w:pPr>
        <w:pStyle w:val="ListBullet"/>
      </w:pPr>
      <w:r>
        <w:t>Every executable capability requires a typed contract: identity/version, purpose, inputs/outputs/state, events, evidence signals, accessibility, sandbox/permissions, lifecycle and runtime adapter.</w:t>
      </w:r>
    </w:p>
    <w:p>
      <w:pPr>
        <w:pStyle w:val="ListBullet"/>
      </w:pPr>
      <w:r>
        <w:t>Generated capabilities become reusable ecosystem resources only after verification.</w:t>
      </w:r>
    </w:p>
    <w:p>
      <w:pPr>
        <w:pStyle w:val="ListBullet"/>
      </w:pPr>
      <w:r>
        <w:t>Registration ≠ verification ≠ trust ≠ preference.</w:t>
      </w:r>
    </w:p>
    <w:p>
      <w:pPr>
        <w:pStyle w:val="ListBullet"/>
      </w:pPr>
      <w:r>
        <w:t>Every capability package has an immutable dependency manifest, source/license metadata, security/network policy and reproducibility data.</w:t>
      </w:r>
    </w:p>
    <w:p>
      <w:pPr>
        <w:pStyle w:val="Heading1"/>
      </w:pPr>
      <w:r>
        <w:t>8. Experience Patterns, Visual Grammar and Creative Freedom</w:t>
      </w:r>
    </w:p>
    <w:p>
      <w:pPr>
        <w:pStyle w:val="ListBullet"/>
      </w:pPr>
      <w:r>
        <w:t>Experience Pattern Registry stores reusable structural/choreographic patterns such as guided discovery, causal journey or interactive lab.</w:t>
      </w:r>
    </w:p>
    <w:p>
      <w:pPr>
        <w:pStyle w:val="ListBullet"/>
      </w:pPr>
      <w:r>
        <w:t>Visual Grammar governs expression: spatial model, information density, emphasis, representation and motion purpose.</w:t>
      </w:r>
    </w:p>
    <w:p>
      <w:pPr>
        <w:pStyle w:val="ListBullet"/>
      </w:pPr>
      <w:r>
        <w:t>Pattern and Visual Grammar are independent: the same pattern may have different visual expressions.</w:t>
      </w:r>
    </w:p>
    <w:p>
      <w:pPr>
        <w:pStyle w:val="ListBullet"/>
      </w:pPr>
      <w:r>
        <w:t>Experience Director has constrained creative freedom: narrative, simulation, spatial composition, photography/illustration, 2D/3D and novel interactions are allowed when justified.</w:t>
      </w:r>
    </w:p>
    <w:p>
      <w:pPr>
        <w:pStyle w:val="ListBullet"/>
      </w:pPr>
      <w:r>
        <w:t>Hard constraints are learning objectives, source-grounded facts, required evidence, misconceptions, accessibility, device, provenance, safety and acceptance criteria.</w:t>
      </w:r>
    </w:p>
    <w:p>
      <w:pPr>
        <w:pStyle w:val="ListBullet"/>
      </w:pPr>
      <w:r>
        <w:t>Creative decisions and rationale belong in the IR; scene/layout/animation implementation belongs in runtime/compiler artifacts.</w:t>
      </w:r>
    </w:p>
    <w:p>
      <w:pPr>
        <w:pStyle w:val="Heading1"/>
      </w:pPr>
      <w:r>
        <w:t>9. V5 / V6 Boundary</w:t>
      </w:r>
    </w:p>
    <w:p>
      <w:r>
        <w:t>V5 remains frozen. The canonical semantic model may compile to V5 for compatibility, but V5 is not the semantic authority and must never constrain V6 design.</w:t>
      </w:r>
    </w:p>
    <w:p>
      <w:pPr>
        <w:pStyle w:val="ListBullet"/>
      </w:pPr>
      <w:r>
        <w:t>V5 compiler performs capability-aware graceful degradation.</w:t>
      </w:r>
    </w:p>
    <w:p>
      <w:pPr>
        <w:pStyle w:val="ListBullet"/>
      </w:pPr>
      <w:r>
        <w:t>Any semantic loss must be explicit in build manifest and QA report.</w:t>
      </w:r>
    </w:p>
    <w:p>
      <w:pPr>
        <w:pStyle w:val="ListBullet"/>
      </w:pPr>
      <w:r>
        <w:t>Never silently weaken a learning objective or evidence contract.</w:t>
      </w:r>
    </w:p>
    <w:p>
      <w:pPr>
        <w:pStyle w:val="ListBullet"/>
      </w:pPr>
      <w:r>
        <w:t>If required evidence cannot be faithfully represented in V5, fail or explicitly mark the incompatibility.</w:t>
      </w:r>
    </w:p>
    <w:p>
      <w:pPr>
        <w:pStyle w:val="ListBullet"/>
      </w:pPr>
      <w:r>
        <w:t>V6 is a genuinely new stateful experience compiler/runtime, not a visual reskin or fork of V5.</w:t>
      </w:r>
    </w:p>
    <w:p>
      <w:pPr>
        <w:pStyle w:val="Heading1"/>
      </w:pPr>
      <w:r>
        <w:t>10. V6 Runtime Contract</w:t>
      </w:r>
    </w:p>
    <w:p>
      <w:pPr>
        <w:pStyle w:val="ListBullet"/>
      </w:pPr>
      <w:r>
        <w:t>Stateful Experience Runtime owns Experience Graph, learner state, interaction orchestration, capability adapters, visual composition, evidence collection, adaptive policy execution, accessibility, persistence and motivation/progress.</w:t>
      </w:r>
    </w:p>
    <w:p>
      <w:pPr>
        <w:pStyle w:val="ListBullet"/>
      </w:pPr>
      <w:r>
        <w:t>Runtime executes compiled intelligence deterministically; it does not use an LLM to invent pedagogy during learner execution.</w:t>
      </w:r>
    </w:p>
    <w:p>
      <w:pPr>
        <w:pStyle w:val="ListBullet"/>
      </w:pPr>
      <w:r>
        <w:t>Capabilities communicate through a typed semantic event/state bus, not direct implementation APIs.</w:t>
      </w:r>
    </w:p>
    <w:p>
      <w:pPr>
        <w:pStyle w:val="ListBullet"/>
      </w:pPr>
      <w:r>
        <w:t>Canonical runtime events include learner_action, state_entered, interaction_started/changed/completed, attempt_submitted, response_evaluated, misconception_detected, evidence_generated, mastery_updated and adaptation_triggered.</w:t>
      </w:r>
    </w:p>
    <w:p>
      <w:pPr>
        <w:pStyle w:val="ListBullet"/>
      </w:pPr>
      <w:r>
        <w:t>Capabilities translate implementation-specific events into canonical semantic events through adapters.</w:t>
      </w:r>
    </w:p>
    <w:p>
      <w:pPr>
        <w:pStyle w:val="Heading1"/>
      </w:pPr>
      <w:r>
        <w:t>11. Learner State, Evidence and Persistence</w:t>
      </w:r>
    </w:p>
    <w:p>
      <w:pPr>
        <w:pStyle w:val="ListBullet"/>
      </w:pPr>
      <w:r>
        <w:t>Use event-sourced learner history: immutable runtime events → versioned interpretation → evidence ledger → learner-state projection.</w:t>
      </w:r>
    </w:p>
    <w:p>
      <w:pPr>
        <w:pStyle w:val="ListBullet"/>
      </w:pPr>
      <w:r>
        <w:t>Never rewrite historical events or merge mastery scores directly.</w:t>
      </w:r>
    </w:p>
    <w:p>
      <w:pPr>
        <w:pStyle w:val="ListBullet"/>
      </w:pPr>
      <w:r>
        <w:t>Offline-first local persistence is the BETA default; cloud synchronization is later.</w:t>
      </w:r>
    </w:p>
    <w:p>
      <w:pPr>
        <w:pStyle w:val="ListBullet"/>
      </w:pPr>
      <w:r>
        <w:t>Canonical IR contains no learner identity or PII.</w:t>
      </w:r>
    </w:p>
    <w:p>
      <w:pPr>
        <w:pStyle w:val="ListBullet"/>
      </w:pPr>
      <w:r>
        <w:t>Use pseudonymous/local identity in BETA and keep identity separation strict.</w:t>
      </w:r>
    </w:p>
    <w:p>
      <w:pPr>
        <w:pStyle w:val="ListBullet"/>
      </w:pPr>
      <w:r>
        <w:t>Global concept mastery is aggregated contextually across chapters; chapter mastery is not copied as a global score.</w:t>
      </w:r>
    </w:p>
    <w:p>
      <w:pPr>
        <w:pStyle w:val="Heading1"/>
      </w:pPr>
      <w:r>
        <w:t>12. LLE Contract</w:t>
      </w:r>
    </w:p>
    <w:p>
      <w:r>
        <w:t>Canonical IR stores language-neutral semantic references. LLE owns localization, translation, terminology, age-appropriate phrasing, language QA and fallback. Realizations must preserve semantic intent, factual fidelity and success contracts.</w:t>
      </w:r>
    </w:p>
    <w:p>
      <w:r>
        <w:t>LLE is an existing verified architectural component to reuse/adapt, not replace without evidence.</w:t>
      </w:r>
    </w:p>
    <w:p>
      <w:pPr>
        <w:pStyle w:val="Heading1"/>
      </w:pPr>
      <w:r>
        <w:t>13. Verification and QA</w:t>
      </w:r>
    </w:p>
    <w:p>
      <w:r>
        <w:t>The current mechanical QA harness is retained. Add semantic verification as a multi-pass compiler gate.</w:t>
      </w:r>
    </w:p>
    <w:p>
      <w:pPr>
        <w:pStyle w:val="ListBullet"/>
      </w:pPr>
      <w:r>
        <w:t>Structural validation.</w:t>
      </w:r>
    </w:p>
    <w:p>
      <w:pPr>
        <w:pStyle w:val="ListBullet"/>
      </w:pPr>
      <w:r>
        <w:t>Semantic/objective/evidence validation.</w:t>
      </w:r>
    </w:p>
    <w:p>
      <w:pPr>
        <w:pStyle w:val="ListBullet"/>
      </w:pPr>
      <w:r>
        <w:t>Provenance and fidelity validation.</w:t>
      </w:r>
    </w:p>
    <w:p>
      <w:pPr>
        <w:pStyle w:val="ListBullet"/>
      </w:pPr>
      <w:r>
        <w:t>Pedagogy/misconception/assessment validation.</w:t>
      </w:r>
    </w:p>
    <w:p>
      <w:pPr>
        <w:pStyle w:val="ListBullet"/>
      </w:pPr>
      <w:r>
        <w:t>Capability contract and licensing validation.</w:t>
      </w:r>
    </w:p>
    <w:p>
      <w:pPr>
        <w:pStyle w:val="ListBullet"/>
      </w:pPr>
      <w:r>
        <w:t>Accessibility/device/offline validation.</w:t>
      </w:r>
    </w:p>
    <w:p>
      <w:pPr>
        <w:pStyle w:val="ListBullet"/>
      </w:pPr>
      <w:r>
        <w:t>Experience Graph reachability and transition validation.</w:t>
      </w:r>
    </w:p>
    <w:p>
      <w:pPr>
        <w:pStyle w:val="ListBullet"/>
      </w:pPr>
      <w:r>
        <w:t>V5/V6 compilation validation.</w:t>
      </w:r>
    </w:p>
    <w:p>
      <w:pPr>
        <w:pStyle w:val="ListBullet"/>
      </w:pPr>
      <w:r>
        <w:t>Browser/runtime behavioral QA.</w:t>
      </w:r>
    </w:p>
    <w:p>
      <w:pPr>
        <w:pStyle w:val="ListBullet"/>
      </w:pPr>
      <w:r>
        <w:t>Experience Evolution Contract validation.</w:t>
      </w:r>
    </w:p>
    <w:p>
      <w:pPr>
        <w:pStyle w:val="ListBullet"/>
      </w:pPr>
      <w:r>
        <w:t>Each failure records what, where, why, rule, evidence/source, responsible agent and targeted repair path.</w:t>
      </w:r>
    </w:p>
    <w:p>
      <w:pPr>
        <w:pStyle w:val="Heading1"/>
      </w:pPr>
      <w:r>
        <w:t>14. Experience Evolution Contract</w:t>
      </w:r>
    </w:p>
    <w:p>
      <w:r>
        <w:t>Every V6 build must be compared against the V5 baseline where applicable. Cosmetic change alone does not qualify as evolution.</w:t>
      </w:r>
    </w:p>
    <w:p>
      <w:pPr>
        <w:pStyle w:val="ListBullet"/>
      </w:pPr>
      <w:r>
        <w:t>Learning interaction evolution.</w:t>
      </w:r>
    </w:p>
    <w:p>
      <w:pPr>
        <w:pStyle w:val="ListBullet"/>
      </w:pPr>
      <w:r>
        <w:t>Visual grammar / representation evolution.</w:t>
      </w:r>
    </w:p>
    <w:p>
      <w:pPr>
        <w:pStyle w:val="ListBullet"/>
      </w:pPr>
      <w:r>
        <w:t>Experience structure and learner agency.</w:t>
      </w:r>
    </w:p>
    <w:p>
      <w:pPr>
        <w:pStyle w:val="ListBullet"/>
      </w:pPr>
      <w:r>
        <w:t>Evidence and diagnostic strength.</w:t>
      </w:r>
    </w:p>
    <w:p>
      <w:pPr>
        <w:pStyle w:val="ListBullet"/>
      </w:pPr>
      <w:r>
        <w:t>Misconception handling and adaptive behavior.</w:t>
      </w:r>
    </w:p>
    <w:p>
      <w:pPr>
        <w:pStyle w:val="ListBullet"/>
      </w:pPr>
      <w:r>
        <w:t>Capability/interaction evolution.</w:t>
      </w:r>
    </w:p>
    <w:p>
      <w:pPr>
        <w:pStyle w:val="ListBullet"/>
      </w:pPr>
      <w:r>
        <w:t>Narrative, spatial or experiential composition.</w:t>
      </w:r>
    </w:p>
    <w:p>
      <w:pPr>
        <w:pStyle w:val="ListBullet"/>
      </w:pPr>
      <w:r>
        <w:t>Accessibility and learner-control improvements.</w:t>
      </w:r>
    </w:p>
    <w:p>
      <w:pPr>
        <w:pStyle w:val="ListBullet"/>
      </w:pPr>
      <w:r>
        <w:t>Not every dimension must change; only justified dimensions count.</w:t>
      </w:r>
    </w:p>
    <w:p>
      <w:pPr>
        <w:pStyle w:val="Heading1"/>
      </w:pPr>
      <w:r>
        <w:t>15. Reproducibility and Versioning</w:t>
      </w:r>
    </w:p>
    <w:p>
      <w:pPr>
        <w:pStyle w:val="ListBullet"/>
      </w:pPr>
      <w:r>
        <w:t>Use semantic versioning for IR/schema/compiler contracts.</w:t>
      </w:r>
    </w:p>
    <w:p>
      <w:pPr>
        <w:pStyle w:val="ListBullet"/>
      </w:pPr>
      <w:r>
        <w:t>Immutable compilation manifest records IR schema, compiler, runtime, capability registry snapshot, exact resource versions, assets and configuration.</w:t>
      </w:r>
    </w:p>
    <w:p>
      <w:pPr>
        <w:pStyle w:val="ListBullet"/>
      </w:pPr>
      <w:r>
        <w:t>Fixed accepted IR + fixed compiler/schema + fixed registry snapshot + fixed dependencies/assets must produce a reproducible build.</w:t>
      </w:r>
    </w:p>
    <w:p>
      <w:pPr>
        <w:pStyle w:val="ListBullet"/>
      </w:pPr>
      <w:r>
        <w:t>Registry improvements never silently change historical builds.</w:t>
      </w:r>
    </w:p>
    <w:p>
      <w:pPr>
        <w:pStyle w:val="Heading1"/>
      </w:pPr>
      <w:r>
        <w:t>16. HIL Protocol</w:t>
      </w:r>
    </w:p>
    <w:p>
      <w:r>
        <w:rPr>
          <w:rFonts w:ascii="Consolas" w:hAnsi="Consolas"/>
          <w:sz w:val="17"/>
        </w:rPr>
        <w:t>BUILDING</w:t>
        <w:br/>
        <w:t xml:space="preserve">  ↓</w:t>
        <w:br/>
        <w:t>SELF_VERIFYING</w:t>
        <w:br/>
        <w:t xml:space="preserve">  ↓</w:t>
        <w:br/>
        <w:t>VERIFIED</w:t>
        <w:br/>
        <w:t xml:space="preserve">  ↓</w:t>
        <w:br/>
        <w:t>HIL_REVIEW</w:t>
        <w:br/>
        <w:t xml:space="preserve">  ├── APPROVE → RELEASE</w:t>
        <w:br/>
        <w:t xml:space="preserve">  ├── FEEDBACK → STRUCTURED CHANGE REQUEST</w:t>
        <w:br/>
        <w:t xml:space="preserve">  │                    ↓</w:t>
        <w:br/>
        <w:t xml:space="preserve">  │              IMPACT ANALYSIS</w:t>
        <w:br/>
        <w:t xml:space="preserve">  │                    ↓</w:t>
        <w:br/>
        <w:t xml:space="preserve">  │              TARGETED RECOMPILE</w:t>
        <w:br/>
        <w:t xml:space="preserve">  │                    ↓</w:t>
        <w:br/>
        <w:t xml:space="preserve">  │                  VERIFY</w:t>
        <w:br/>
        <w:t xml:space="preserve">  └── RECTIFY → STRUCTURED CHANGE REQUEST → IMPACT ANALYSIS</w:t>
        <w:br/>
        <w:t xml:space="preserve">                                      → TARGETED RECOMPILE → VERIFY</w:t>
      </w:r>
    </w:p>
    <w:p>
      <w:pPr>
        <w:pStyle w:val="ListBullet"/>
      </w:pPr>
      <w:r>
        <w:t>HIL is output-boundary review, not ordinary mid-generation approval.</w:t>
      </w:r>
    </w:p>
    <w:p>
      <w:pPr>
        <w:pStyle w:val="ListBullet"/>
      </w:pPr>
      <w:r>
        <w:t>Autonomous generation, compilation, capability discovery and repair are the default.</w:t>
      </w:r>
    </w:p>
    <w:p>
      <w:pPr>
        <w:pStyle w:val="ListBullet"/>
      </w:pPr>
      <w:r>
        <w:t>Human natural-language feedback is converted into a structured, traceable Change Request.</w:t>
      </w:r>
    </w:p>
    <w:p>
      <w:pPr>
        <w:pStyle w:val="ListBullet"/>
      </w:pPr>
      <w:r>
        <w:t>Change Requests identify impacted semantic IDs, invariants, affected dependency closure and required verification.</w:t>
      </w:r>
    </w:p>
    <w:p>
      <w:pPr>
        <w:pStyle w:val="ListBullet"/>
      </w:pPr>
      <w:r>
        <w:t>Humans do not directly mutate canonical IR through an uncontrolled channel.</w:t>
      </w:r>
    </w:p>
    <w:p>
      <w:pPr>
        <w:pStyle w:val="ListBullet"/>
      </w:pPr>
      <w:r>
        <w:t>Safety/privacy/licensing/offline violations may hard-stop and escalate.</w:t>
      </w:r>
    </w:p>
    <w:p>
      <w:pPr>
        <w:pStyle w:val="ListBullet"/>
      </w:pPr>
      <w:r>
        <w:t>Low confidence alone does not force HIL; risk-based verification comes first.</w:t>
      </w:r>
    </w:p>
    <w:p>
      <w:pPr>
        <w:pStyle w:val="ListBullet"/>
      </w:pPr>
      <w:r>
        <w:t>HIL feedback re-enters the governed pipeline and is never treated as an opaque manual patch.</w:t>
      </w:r>
    </w:p>
    <w:p>
      <w:pPr>
        <w:pStyle w:val="Heading1"/>
      </w:pPr>
      <w:r>
        <w:t>17. BETA Vertical Slice</w:t>
      </w:r>
    </w:p>
    <w:p>
      <w:r>
        <w:t>BETA proves the architecture end-to-end without implementing the entire future ecosystem.</w:t>
      </w:r>
    </w:p>
    <w:p>
      <w:pPr>
        <w:pStyle w:val="ListBullet"/>
      </w:pPr>
      <w:r>
        <w:t>Use one real source chapter.</w:t>
      </w:r>
    </w:p>
    <w:p>
      <w:pPr>
        <w:pStyle w:val="ListBullet"/>
      </w:pPr>
      <w:r>
        <w:t>Run real multi-agent understanding.</w:t>
      </w:r>
    </w:p>
    <w:p>
      <w:pPr>
        <w:pStyle w:val="ListBullet"/>
      </w:pPr>
      <w:r>
        <w:t>Preserve specialist artifacts.</w:t>
      </w:r>
    </w:p>
    <w:p>
      <w:pPr>
        <w:pStyle w:val="ListBullet"/>
      </w:pPr>
      <w:r>
        <w:t>Normalize into one Canonical Prototype IR.</w:t>
      </w:r>
    </w:p>
    <w:p>
      <w:pPr>
        <w:pStyle w:val="ListBullet"/>
      </w:pPr>
      <w:r>
        <w:t>Design one genuinely novel V6 experience.</w:t>
      </w:r>
    </w:p>
    <w:p>
      <w:pPr>
        <w:pStyle w:val="ListBullet"/>
      </w:pPr>
      <w:r>
        <w:t>Resolve at least one capability through the full missing-capability lifecycle.</w:t>
      </w:r>
    </w:p>
    <w:p>
      <w:pPr>
        <w:pStyle w:val="ListBullet"/>
      </w:pPr>
      <w:r>
        <w:t>Compile to the new V6 runtime.</w:t>
      </w:r>
    </w:p>
    <w:p>
      <w:pPr>
        <w:pStyle w:val="ListBullet"/>
      </w:pPr>
      <w:r>
        <w:t>Run the real learner flow offline.</w:t>
      </w:r>
    </w:p>
    <w:p>
      <w:pPr>
        <w:pStyle w:val="ListBullet"/>
      </w:pPr>
      <w:r>
        <w:t>Capture canonical events and reconstruct evidence/state.</w:t>
      </w:r>
    </w:p>
    <w:p>
      <w:pPr>
        <w:pStyle w:val="ListBullet"/>
      </w:pPr>
      <w:r>
        <w:t>Demonstrate misconception/mastery interpretation and at least one adaptive policy.</w:t>
      </w:r>
    </w:p>
    <w:p>
      <w:pPr>
        <w:pStyle w:val="ListBullet"/>
      </w:pPr>
      <w:r>
        <w:t>Produce source → concept → objective → experience → capability → learner action → evidence → mastery traceability.</w:t>
      </w:r>
    </w:p>
    <w:p>
      <w:pPr>
        <w:pStyle w:val="ListBullet"/>
      </w:pPr>
      <w:r>
        <w:t>Run all deterministic verification gates before HIL.</w:t>
      </w:r>
    </w:p>
    <w:p>
      <w:pPr>
        <w:pStyle w:val="Heading1"/>
      </w:pPr>
      <w:r>
        <w:t>18. Repository Migration Strategy</w:t>
      </w:r>
    </w:p>
    <w:p>
      <w:pPr>
        <w:pStyle w:val="ListBullet"/>
      </w:pPr>
      <w:r>
        <w:t>INVENTORY: map current files/components to semantic roles and evidence status.</w:t>
      </w:r>
    </w:p>
    <w:p>
      <w:pPr>
        <w:pStyle w:val="ListBullet"/>
      </w:pPr>
      <w:r>
        <w:t>PRESERVE: keep proven infrastructure that satisfies the new contract.</w:t>
      </w:r>
    </w:p>
    <w:p>
      <w:pPr>
        <w:pStyle w:val="ListBullet"/>
      </w:pPr>
      <w:r>
        <w:t>ADAPT: wrap or refactor components whose implementation is useful but contract differs.</w:t>
      </w:r>
    </w:p>
    <w:p>
      <w:pPr>
        <w:pStyle w:val="ListBullet"/>
      </w:pPr>
      <w:r>
        <w:t>REPLACE: remove architectural coupling where it prevents the canonical semantic spine.</w:t>
      </w:r>
    </w:p>
    <w:p>
      <w:pPr>
        <w:pStyle w:val="ListBullet"/>
      </w:pPr>
      <w:r>
        <w:t>RETIRE: freeze obsolete duplicate generations without deleting evidence prematurely.</w:t>
      </w:r>
    </w:p>
    <w:p>
      <w:pPr>
        <w:pStyle w:val="ListBullet"/>
      </w:pPr>
      <w:r>
        <w:t>BUILD: implement only missing boundaries proven necessary by the vertical slice.</w:t>
      </w:r>
    </w:p>
    <w:p>
      <w:pPr>
        <w:pStyle w:val="ListBullet"/>
      </w:pPr>
      <w:r>
        <w:t>Do not rename/move large repository areas merely for cleanliness before dependency and usage evidence is mapped.</w:t>
      </w:r>
    </w:p>
    <w:p>
      <w:pPr>
        <w:pStyle w:val="Heading1"/>
      </w:pPr>
      <w:r>
        <w:t>19. Mandatory Antigravity Operating Rules</w:t>
      </w:r>
    </w:p>
    <w:p>
      <w:pPr>
        <w:pStyle w:val="ListBullet"/>
      </w:pPr>
      <w:r>
        <w:t>Repository-first: inspect before designing implementation.</w:t>
      </w:r>
    </w:p>
    <w:p>
      <w:pPr>
        <w:pStyle w:val="ListBullet"/>
      </w:pPr>
      <w:r>
        <w:t>Evidence before assertion.</w:t>
      </w:r>
    </w:p>
    <w:p>
      <w:pPr>
        <w:pStyle w:val="ListBullet"/>
      </w:pPr>
      <w:r>
        <w:t>Never hallucinate repository files, APIs, capabilities, page audits or tool support.</w:t>
      </w:r>
    </w:p>
    <w:p>
      <w:pPr>
        <w:pStyle w:val="ListBullet"/>
      </w:pPr>
      <w:r>
        <w:t>Treat existing code as evidence, not authority.</w:t>
      </w:r>
    </w:p>
    <w:p>
      <w:pPr>
        <w:pStyle w:val="ListBullet"/>
      </w:pPr>
      <w:r>
        <w:t>Treat proposed architecture as intent, not implementation.</w:t>
      </w:r>
    </w:p>
    <w:p>
      <w:pPr>
        <w:pStyle w:val="ListBullet"/>
      </w:pPr>
      <w:r>
        <w:t>Do not write code until the design/audit gate is explicitly approved.</w:t>
      </w:r>
    </w:p>
    <w:p>
      <w:pPr>
        <w:pStyle w:val="ListBullet"/>
      </w:pPr>
      <w:r>
        <w:t>Do not silently degrade learning objectives.</w:t>
      </w:r>
    </w:p>
    <w:p>
      <w:pPr>
        <w:pStyle w:val="ListBullet"/>
      </w:pPr>
      <w:r>
        <w:t>Do not let technology dictate pedagogy.</w:t>
      </w:r>
    </w:p>
    <w:p>
      <w:pPr>
        <w:pStyle w:val="ListBullet"/>
      </w:pPr>
      <w:r>
        <w:t>Do not bundle assets/libraries without verified provenance/license policy.</w:t>
      </w:r>
    </w:p>
    <w:p>
      <w:pPr>
        <w:pStyle w:val="ListBullet"/>
      </w:pPr>
      <w:r>
        <w:t>Do not introduce CDN/network dependencies into offline student runtime.</w:t>
      </w:r>
    </w:p>
    <w:p>
      <w:pPr>
        <w:pStyle w:val="ListBullet"/>
      </w:pPr>
      <w:r>
        <w:t>Do not place learner PII in Canonical IR.</w:t>
      </w:r>
    </w:p>
    <w:p>
      <w:pPr>
        <w:pStyle w:val="ListBullet"/>
      </w:pPr>
      <w:r>
        <w:t>Do not use runtime LLM improvisation for core pedagogy.</w:t>
      </w:r>
    </w:p>
    <w:p>
      <w:pPr>
        <w:pStyle w:val="ListBullet"/>
      </w:pPr>
      <w:r>
        <w:t>Prefer targeted regeneration over full regeneration.</w:t>
      </w:r>
    </w:p>
    <w:p>
      <w:pPr>
        <w:pStyle w:val="ListBullet"/>
      </w:pPr>
      <w:r>
        <w:t>Verify before claiming completion.</w:t>
      </w:r>
    </w:p>
    <w:p>
      <w:pPr>
        <w:pStyle w:val="Heading1"/>
      </w:pPr>
      <w:r>
        <w:t>20. Acceptance Gates</w:t>
      </w:r>
    </w:p>
    <w:p>
      <w:pPr>
        <w:pStyle w:val="ListNumber"/>
      </w:pPr>
      <w:r>
        <w:t>1. Repository evidence reconciled and contradictions resolved.</w:t>
      </w:r>
    </w:p>
    <w:p>
      <w:pPr>
        <w:pStyle w:val="ListNumber"/>
      </w:pPr>
      <w:r>
        <w:t>2. Missing 23-page/block-level audit supplied or explicitly waived with a documented evidence gap.</w:t>
      </w:r>
    </w:p>
    <w:p>
      <w:pPr>
        <w:pStyle w:val="ListNumber"/>
      </w:pPr>
      <w:r>
        <w:t>3. Canonical IR schema approved.</w:t>
      </w:r>
    </w:p>
    <w:p>
      <w:pPr>
        <w:pStyle w:val="ListNumber"/>
      </w:pPr>
      <w:r>
        <w:t>4. Agent/assembler authority contracts approved.</w:t>
      </w:r>
    </w:p>
    <w:p>
      <w:pPr>
        <w:pStyle w:val="ListNumber"/>
      </w:pPr>
      <w:r>
        <w:t>5. Capability contract + registry model approved.</w:t>
      </w:r>
    </w:p>
    <w:p>
      <w:pPr>
        <w:pStyle w:val="ListNumber"/>
      </w:pPr>
      <w:r>
        <w:t>6. V5 compatibility contract approved.</w:t>
      </w:r>
    </w:p>
    <w:p>
      <w:pPr>
        <w:pStyle w:val="ListNumber"/>
      </w:pPr>
      <w:r>
        <w:t>7. V6 runtime contract approved.</w:t>
      </w:r>
    </w:p>
    <w:p>
      <w:pPr>
        <w:pStyle w:val="ListNumber"/>
      </w:pPr>
      <w:r>
        <w:t>8. Event/evidence/learner-state model approved.</w:t>
      </w:r>
    </w:p>
    <w:p>
      <w:pPr>
        <w:pStyle w:val="ListNumber"/>
      </w:pPr>
      <w:r>
        <w:t>9. LLE boundary approved.</w:t>
      </w:r>
    </w:p>
    <w:p>
      <w:pPr>
        <w:pStyle w:val="ListNumber"/>
      </w:pPr>
      <w:r>
        <w:t>10. QA/verification contract approved.</w:t>
      </w:r>
    </w:p>
    <w:p>
      <w:pPr>
        <w:pStyle w:val="ListNumber"/>
      </w:pPr>
      <w:r>
        <w:t>11. HIL protocol approved.</w:t>
      </w:r>
    </w:p>
    <w:p>
      <w:pPr>
        <w:pStyle w:val="ListNumber"/>
      </w:pPr>
      <w:r>
        <w:t>12. BETA vertical slice passes end-to-end evidence trace.</w:t>
      </w:r>
    </w:p>
    <w:p>
      <w:pPr>
        <w:pStyle w:val="ListNumber"/>
      </w:pPr>
      <w:r>
        <w:t>13. Experience Evolution Contract passes for V6.</w:t>
      </w:r>
    </w:p>
    <w:p>
      <w:pPr>
        <w:pStyle w:val="ListNumber"/>
      </w:pPr>
      <w:r>
        <w:t>14. HIL approves release candidate.</w:t>
      </w:r>
    </w:p>
    <w:p>
      <w:pPr>
        <w:pStyle w:val="Heading1"/>
      </w:pPr>
      <w:r>
        <w:t>21. Open Evidence / Decision Log</w:t>
      </w:r>
    </w:p>
    <w:p>
      <w:r>
        <w:t>Locked architectural decisions Q1–Q100 are incorporated into this specification. The principal unresolved evidence item is the missing 23-page/block-level product audit artifact. Additional repository contradictions—especially licensing/provenance statements across generations—must be resolved by explicit source authority before release packaging.</w:t>
      </w:r>
    </w:p>
    <w:p>
      <w:pPr>
        <w:pStyle w:val="Heading1"/>
      </w:pPr>
      <w:r>
        <w:t>22. Antigravity Start Instruction</w:t>
      </w:r>
    </w:p>
    <w:p>
      <w:r>
        <w:rPr>
          <w:rFonts w:ascii="Consolas" w:hAnsi="Consolas"/>
          <w:sz w:val="17"/>
        </w:rPr>
        <w:t>START IN READ-ONLY FORENSIC MODE.</w:t>
        <w:br/>
        <w:t>Do not implement.</w:t>
        <w:br/>
        <w:br/>
        <w:t>1. Reconcile this specification against the current repository.</w:t>
        <w:br/>
        <w:t>2. Produce an evidence table: VERIFIED / EXPERIMENTAL / LEGACY / ARCHIVED / PROPOSED / UNKNOWN.</w:t>
        <w:br/>
        <w:t>3. Reconstruct the actual product, page/block, agent, artifact, schema, capability, runtime and QA graph.</w:t>
        <w:br/>
        <w:t>4. Locate and integrate the missing 23-page/block-level audit if it is supplied.</w:t>
        <w:br/>
        <w:t>5. Identify contradictions and authority conflicts.</w:t>
        <w:br/>
        <w:t>6. Produce the Reuse / Adapt / Replace / Retire / Build matrix.</w:t>
        <w:br/>
        <w:t>7. Produce the BETA vertical-slice implementation plan.</w:t>
        <w:br/>
        <w:t>8. STOP for explicit design approval.</w:t>
        <w:br/>
        <w:t>Only after approval may implementation planning begin.</w:t>
      </w:r>
    </w:p>
    <w:p>
      <w:r>
        <w:t>End state: a governed, evidence-traceable Aasha AIOS in which source understanding, semantic IR, experience design, capability engineering, runtime execution, learner evidence, QA and HIL form one reproducible pipeline—without allowing legacy architecture or implementation convenience to redefine the product.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