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757"/>
      </w:tblGrid>
      <w:tr>
        <w:tc>
          <w:tcPr>
            <w:tcW w:type="dxa" w:w="10728"/>
            <w:shd w:fill="17365D"/>
            <w:tcMar>
              <w:top w:w="75" w:type="dxa"/>
              <w:start w:w="110" w:type="dxa"/>
              <w:bottom w:w="70" w:type="dxa"/>
              <w:end w:w="110" w:type="dxa"/>
            </w:tcMar>
          </w:tcPr>
          <w:p>
            <w:pPr>
              <w:spacing w:after="20"/>
              <w:jc w:val="center"/>
            </w:pPr>
            <w:r>
              <w:rPr>
                <w:rFonts w:ascii="Arial" w:hAnsi="Arial" w:eastAsia="Arial"/>
                <w:b/>
                <w:color w:val="FFFFFF"/>
                <w:sz w:val="32"/>
              </w:rPr>
              <w:t>FINAL DRONE AND BASE STATION SPECIFICATIONS</w:t>
            </w:r>
          </w:p>
          <w:p>
            <w:pPr>
              <w:spacing w:before="0" w:after="0"/>
              <w:jc w:val="center"/>
            </w:pPr>
            <w:r>
              <w:rPr>
                <w:rFonts w:ascii="Arial" w:hAnsi="Arial" w:eastAsia="Arial"/>
                <w:color w:val="D9EAF7"/>
                <w:sz w:val="17"/>
              </w:rPr>
              <w:t>ISRO Robotics Challenge - URSC 2026 | Active final configuration</w:t>
            </w:r>
          </w:p>
        </w:tc>
      </w:tr>
    </w:tbl>
    <w:tbl>
      <w:tblPr>
        <w:tblW w:type="auto" w:w="0"/>
        <w:jc w:val="center"/>
        <w:tblLayout w:type="fixed"/>
        <w:tblLook w:firstColumn="1" w:firstRow="1" w:lastColumn="0" w:lastRow="0" w:noHBand="0" w:noVBand="1" w:val="04A0"/>
      </w:tblPr>
      <w:tblGrid>
        <w:gridCol w:w="2689"/>
        <w:gridCol w:w="2689"/>
        <w:gridCol w:w="2689"/>
        <w:gridCol w:w="2689"/>
      </w:tblGrid>
      <w:tr>
        <w:trPr>
          <w:cantSplit/>
        </w:trPr>
        <w:tc>
          <w:tcPr>
            <w:tcW w:type="dxa" w:w="1080"/>
            <w:tcMar>
              <w:top w:w="35" w:type="dxa"/>
              <w:start w:w="55" w:type="dxa"/>
              <w:bottom w:w="35" w:type="dxa"/>
              <w:end w:w="55" w:type="dxa"/>
            </w:tcMar>
            <w:tcBorders>
              <w:top w:val="single" w:sz="4" w:color="A7B5C5"/>
              <w:left w:val="single" w:sz="4" w:color="A7B5C5"/>
              <w:bottom w:val="single" w:sz="4" w:color="A7B5C5"/>
              <w:right w:val="single" w:sz="4" w:color="A7B5C5"/>
            </w:tcBorders>
            <w:shd w:fill="DCE6F1"/>
          </w:tcPr>
          <w:p>
            <w:pPr>
              <w:spacing w:before="0" w:after="0" w:line="228" w:lineRule="auto"/>
              <w:jc w:val="left"/>
            </w:pPr>
            <w:r>
              <w:rPr>
                <w:rFonts w:ascii="Arial" w:hAnsi="Arial" w:eastAsia="Arial"/>
                <w:b/>
                <w:color w:val="17365D"/>
                <w:sz w:val="15"/>
              </w:rPr>
              <w:t>Team</w:t>
            </w:r>
          </w:p>
        </w:tc>
        <w:tc>
          <w:tcPr>
            <w:tcW w:type="dxa" w:w="3384"/>
            <w:tcMar>
              <w:top w:w="35" w:type="dxa"/>
              <w:start w:w="55" w:type="dxa"/>
              <w:bottom w:w="35" w:type="dxa"/>
              <w:end w:w="55" w:type="dxa"/>
            </w:tcMar>
            <w:tcBorders>
              <w:top w:val="single" w:sz="4" w:color="A7B5C5"/>
              <w:left w:val="single" w:sz="4" w:color="A7B5C5"/>
              <w:bottom w:val="single" w:sz="4" w:color="A7B5C5"/>
              <w:right w:val="single" w:sz="4" w:color="A7B5C5"/>
            </w:tcBorders>
          </w:tcPr>
          <w:p>
            <w:pPr>
              <w:spacing w:before="0" w:after="0" w:line="228" w:lineRule="auto"/>
              <w:jc w:val="left"/>
            </w:pPr>
            <w:r>
              <w:rPr>
                <w:rFonts w:ascii="Arial" w:hAnsi="Arial" w:eastAsia="Arial"/>
                <w:b w:val="0"/>
                <w:color w:val="1F2937"/>
                <w:sz w:val="15"/>
              </w:rPr>
              <w:t>IIC SIT</w:t>
            </w:r>
          </w:p>
        </w:tc>
        <w:tc>
          <w:tcPr>
            <w:tcW w:type="dxa" w:w="1080"/>
            <w:tcMar>
              <w:top w:w="35" w:type="dxa"/>
              <w:start w:w="55" w:type="dxa"/>
              <w:bottom w:w="35" w:type="dxa"/>
              <w:end w:w="55" w:type="dxa"/>
            </w:tcMar>
            <w:tcBorders>
              <w:top w:val="single" w:sz="4" w:color="A7B5C5"/>
              <w:left w:val="single" w:sz="4" w:color="A7B5C5"/>
              <w:bottom w:val="single" w:sz="4" w:color="A7B5C5"/>
              <w:right w:val="single" w:sz="4" w:color="A7B5C5"/>
            </w:tcBorders>
            <w:shd w:fill="DCE6F1"/>
          </w:tcPr>
          <w:p>
            <w:pPr>
              <w:spacing w:before="0" w:after="0" w:line="228" w:lineRule="auto"/>
              <w:jc w:val="left"/>
            </w:pPr>
            <w:r>
              <w:rPr>
                <w:rFonts w:ascii="Arial" w:hAnsi="Arial" w:eastAsia="Arial"/>
                <w:b/>
                <w:color w:val="17365D"/>
                <w:sz w:val="15"/>
              </w:rPr>
              <w:t>Team ID</w:t>
            </w:r>
          </w:p>
        </w:tc>
        <w:tc>
          <w:tcPr>
            <w:tcW w:type="dxa" w:w="5184"/>
            <w:tcMar>
              <w:top w:w="35" w:type="dxa"/>
              <w:start w:w="55" w:type="dxa"/>
              <w:bottom w:w="35" w:type="dxa"/>
              <w:end w:w="55" w:type="dxa"/>
            </w:tcMar>
            <w:tcBorders>
              <w:top w:val="single" w:sz="4" w:color="A7B5C5"/>
              <w:left w:val="single" w:sz="4" w:color="A7B5C5"/>
              <w:bottom w:val="single" w:sz="4" w:color="A7B5C5"/>
              <w:right w:val="single" w:sz="4" w:color="A7B5C5"/>
            </w:tcBorders>
          </w:tcPr>
          <w:p>
            <w:pPr>
              <w:spacing w:before="0" w:after="0" w:line="228" w:lineRule="auto"/>
              <w:jc w:val="left"/>
            </w:pPr>
            <w:r>
              <w:rPr>
                <w:rFonts w:ascii="Arial" w:hAnsi="Arial" w:eastAsia="Arial"/>
                <w:b w:val="0"/>
                <w:color w:val="1F2937"/>
                <w:sz w:val="15"/>
              </w:rPr>
              <w:t>10144</w:t>
            </w:r>
          </w:p>
        </w:tc>
      </w:tr>
      <w:tr>
        <w:trPr>
          <w:cantSplit/>
        </w:trPr>
        <w:tc>
          <w:tcPr>
            <w:tcW w:type="dxa" w:w="1080"/>
            <w:tcMar>
              <w:top w:w="35" w:type="dxa"/>
              <w:start w:w="55" w:type="dxa"/>
              <w:bottom w:w="35" w:type="dxa"/>
              <w:end w:w="55" w:type="dxa"/>
            </w:tcMar>
            <w:tcBorders>
              <w:top w:val="single" w:sz="4" w:color="A7B5C5"/>
              <w:left w:val="single" w:sz="4" w:color="A7B5C5"/>
              <w:bottom w:val="single" w:sz="4" w:color="A7B5C5"/>
              <w:right w:val="single" w:sz="4" w:color="A7B5C5"/>
            </w:tcBorders>
            <w:shd w:fill="DCE6F1"/>
          </w:tcPr>
          <w:p>
            <w:pPr>
              <w:spacing w:before="0" w:after="0" w:line="228" w:lineRule="auto"/>
              <w:jc w:val="left"/>
            </w:pPr>
            <w:r>
              <w:rPr>
                <w:rFonts w:ascii="Arial" w:hAnsi="Arial" w:eastAsia="Arial"/>
                <w:b/>
                <w:color w:val="17365D"/>
                <w:sz w:val="15"/>
              </w:rPr>
              <w:t>Institute</w:t>
            </w:r>
          </w:p>
        </w:tc>
        <w:tc>
          <w:tcPr>
            <w:tcW w:type="dxa" w:w="3384"/>
            <w:tcMar>
              <w:top w:w="35" w:type="dxa"/>
              <w:start w:w="55" w:type="dxa"/>
              <w:bottom w:w="35" w:type="dxa"/>
              <w:end w:w="55" w:type="dxa"/>
            </w:tcMar>
            <w:tcBorders>
              <w:top w:val="single" w:sz="4" w:color="A7B5C5"/>
              <w:left w:val="single" w:sz="4" w:color="A7B5C5"/>
              <w:bottom w:val="single" w:sz="4" w:color="A7B5C5"/>
              <w:right w:val="single" w:sz="4" w:color="A7B5C5"/>
            </w:tcBorders>
          </w:tcPr>
          <w:p>
            <w:pPr>
              <w:spacing w:before="0" w:after="0" w:line="228" w:lineRule="auto"/>
              <w:jc w:val="left"/>
            </w:pPr>
            <w:r>
              <w:rPr>
                <w:rFonts w:ascii="Arial" w:hAnsi="Arial" w:eastAsia="Arial"/>
                <w:b w:val="0"/>
                <w:color w:val="1F2937"/>
                <w:sz w:val="15"/>
              </w:rPr>
              <w:t>Sinhgad Institute of Technology, Lonavala</w:t>
            </w:r>
          </w:p>
        </w:tc>
        <w:tc>
          <w:tcPr>
            <w:tcW w:type="dxa" w:w="1080"/>
            <w:tcMar>
              <w:top w:w="35" w:type="dxa"/>
              <w:start w:w="55" w:type="dxa"/>
              <w:bottom w:w="35" w:type="dxa"/>
              <w:end w:w="55" w:type="dxa"/>
            </w:tcMar>
            <w:tcBorders>
              <w:top w:val="single" w:sz="4" w:color="A7B5C5"/>
              <w:left w:val="single" w:sz="4" w:color="A7B5C5"/>
              <w:bottom w:val="single" w:sz="4" w:color="A7B5C5"/>
              <w:right w:val="single" w:sz="4" w:color="A7B5C5"/>
            </w:tcBorders>
            <w:shd w:fill="DCE6F1"/>
          </w:tcPr>
          <w:p>
            <w:pPr>
              <w:spacing w:before="0" w:after="0" w:line="228" w:lineRule="auto"/>
              <w:jc w:val="left"/>
            </w:pPr>
            <w:r>
              <w:rPr>
                <w:rFonts w:ascii="Arial" w:hAnsi="Arial" w:eastAsia="Arial"/>
                <w:b/>
                <w:color w:val="17365D"/>
                <w:sz w:val="15"/>
              </w:rPr>
              <w:t>Document</w:t>
            </w:r>
          </w:p>
        </w:tc>
        <w:tc>
          <w:tcPr>
            <w:tcW w:type="dxa" w:w="5184"/>
            <w:tcMar>
              <w:top w:w="35" w:type="dxa"/>
              <w:start w:w="55" w:type="dxa"/>
              <w:bottom w:w="35" w:type="dxa"/>
              <w:end w:w="55" w:type="dxa"/>
            </w:tcMar>
            <w:tcBorders>
              <w:top w:val="single" w:sz="4" w:color="A7B5C5"/>
              <w:left w:val="single" w:sz="4" w:color="A7B5C5"/>
              <w:bottom w:val="single" w:sz="4" w:color="A7B5C5"/>
              <w:right w:val="single" w:sz="4" w:color="A7B5C5"/>
            </w:tcBorders>
          </w:tcPr>
          <w:p>
            <w:pPr>
              <w:spacing w:before="0" w:after="0" w:line="228" w:lineRule="auto"/>
              <w:jc w:val="left"/>
            </w:pPr>
            <w:r>
              <w:rPr>
                <w:rFonts w:ascii="Arial" w:hAnsi="Arial" w:eastAsia="Arial"/>
                <w:b w:val="0"/>
                <w:color w:val="1F2937"/>
                <w:sz w:val="15"/>
              </w:rPr>
              <w:t>Final active configuration - 11 July 2026</w:t>
            </w:r>
          </w:p>
        </w:tc>
      </w:tr>
    </w:tbl>
    <w:p>
      <w:pPr>
        <w:spacing w:before="60" w:after="60" w:line="228" w:lineRule="auto"/>
        <w:jc w:val="both"/>
      </w:pPr>
      <w:r>
        <w:rPr>
          <w:rFonts w:ascii="Arial" w:hAnsi="Arial" w:eastAsia="Arial"/>
          <w:color w:val="1F2937"/>
          <w:sz w:val="16"/>
        </w:rPr>
        <w:t>ASCEND is a GPS-denied autonomous quadcopter and automated docking station developed for indoor survey, target-image acquisition, coordinate logging, autonomous return, precision landing, wired data transfer, and battery charging. The specification below reflects the active field-round configuration.</w:t>
      </w:r>
    </w:p>
    <w:p>
      <w:pPr>
        <w:spacing w:before="40" w:after="20"/>
      </w:pPr>
      <w:r>
        <w:rPr>
          <w:rFonts w:ascii="Arial" w:hAnsi="Arial" w:eastAsia="Arial"/>
          <w:b/>
          <w:color w:val="17365D"/>
          <w:sz w:val="20"/>
        </w:rPr>
        <w:t>1. Final Drone Specification</w:t>
      </w:r>
    </w:p>
    <w:tbl>
      <w:tblPr>
        <w:tblW w:type="auto" w:w="0"/>
        <w:jc w:val="center"/>
        <w:tblLayout w:type="fixed"/>
        <w:tblLook w:firstColumn="1" w:firstRow="1" w:lastColumn="0" w:lastRow="0" w:noHBand="0" w:noVBand="1" w:val="04A0"/>
      </w:tblPr>
      <w:tblGrid>
        <w:gridCol w:w="3586"/>
        <w:gridCol w:w="3586"/>
        <w:gridCol w:w="3586"/>
      </w:tblGrid>
      <w:tr>
        <w:trPr>
          <w:tblHeader w:val="true"/>
        </w:trPr>
        <w:tc>
          <w:tcPr>
            <w:tcW w:type="dxa" w:w="1944"/>
            <w:shd w:fill="2F5597"/>
            <w:tcMar>
              <w:top w:w="45" w:type="dxa"/>
              <w:start w:w="55" w:type="dxa"/>
              <w:bottom w:w="45" w:type="dxa"/>
              <w:end w:w="55" w:type="dxa"/>
            </w:tcMar>
            <w:tcBorders>
              <w:top w:val="single" w:sz="5" w:color="FFFFFF"/>
              <w:left w:val="single" w:sz="5" w:color="FFFFFF"/>
              <w:bottom w:val="single" w:sz="5" w:color="FFFFFF"/>
              <w:right w:val="single" w:sz="5" w:color="FFFFFF"/>
            </w:tcBorders>
          </w:tcPr>
          <w:p>
            <w:pPr>
              <w:spacing w:before="0" w:after="0" w:line="228" w:lineRule="auto"/>
              <w:jc w:val="center"/>
            </w:pPr>
            <w:r>
              <w:rPr>
                <w:rFonts w:ascii="Arial" w:hAnsi="Arial" w:eastAsia="Arial"/>
                <w:b/>
                <w:color w:val="FFFFFF"/>
                <w:sz w:val="15"/>
              </w:rPr>
              <w:t>Subsystem / Item</w:t>
            </w:r>
          </w:p>
        </w:tc>
        <w:tc>
          <w:tcPr>
            <w:tcW w:type="dxa" w:w="3744"/>
            <w:shd w:fill="2F5597"/>
            <w:tcMar>
              <w:top w:w="45" w:type="dxa"/>
              <w:start w:w="55" w:type="dxa"/>
              <w:bottom w:w="45" w:type="dxa"/>
              <w:end w:w="55" w:type="dxa"/>
            </w:tcMar>
            <w:tcBorders>
              <w:top w:val="single" w:sz="5" w:color="FFFFFF"/>
              <w:left w:val="single" w:sz="5" w:color="FFFFFF"/>
              <w:bottom w:val="single" w:sz="5" w:color="FFFFFF"/>
              <w:right w:val="single" w:sz="5" w:color="FFFFFF"/>
            </w:tcBorders>
          </w:tcPr>
          <w:p>
            <w:pPr>
              <w:spacing w:before="0" w:after="0" w:line="228" w:lineRule="auto"/>
              <w:jc w:val="center"/>
            </w:pPr>
            <w:r>
              <w:rPr>
                <w:rFonts w:ascii="Arial" w:hAnsi="Arial" w:eastAsia="Arial"/>
                <w:b/>
                <w:color w:val="FFFFFF"/>
                <w:sz w:val="15"/>
              </w:rPr>
              <w:t>Final specification</w:t>
            </w:r>
          </w:p>
        </w:tc>
        <w:tc>
          <w:tcPr>
            <w:tcW w:type="dxa" w:w="5040"/>
            <w:shd w:fill="2F5597"/>
            <w:tcMar>
              <w:top w:w="45" w:type="dxa"/>
              <w:start w:w="55" w:type="dxa"/>
              <w:bottom w:w="45" w:type="dxa"/>
              <w:end w:w="55" w:type="dxa"/>
            </w:tcMar>
            <w:tcBorders>
              <w:top w:val="single" w:sz="5" w:color="FFFFFF"/>
              <w:left w:val="single" w:sz="5" w:color="FFFFFF"/>
              <w:bottom w:val="single" w:sz="5" w:color="FFFFFF"/>
              <w:right w:val="single" w:sz="5" w:color="FFFFFF"/>
            </w:tcBorders>
          </w:tcPr>
          <w:p>
            <w:pPr>
              <w:spacing w:before="0" w:after="0" w:line="228" w:lineRule="auto"/>
              <w:jc w:val="center"/>
            </w:pPr>
            <w:r>
              <w:rPr>
                <w:rFonts w:ascii="Arial" w:hAnsi="Arial" w:eastAsia="Arial"/>
                <w:b/>
                <w:color w:val="FFFFFF"/>
                <w:sz w:val="15"/>
              </w:rPr>
              <w:t>Function / implementation</w:t>
            </w:r>
          </w:p>
        </w:tc>
      </w:tr>
      <w:tr>
        <w:trPr>
          <w:cantSplit/>
        </w:trPr>
        <w:tc>
          <w:tcPr>
            <w:tcW w:type="dxa" w:w="19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Platform</w:t>
            </w:r>
          </w:p>
        </w:tc>
        <w:tc>
          <w:tcPr>
            <w:tcW w:type="dxa" w:w="37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Custom autonomous quadcopter</w:t>
            </w:r>
          </w:p>
        </w:tc>
        <w:tc>
          <w:tcPr>
            <w:tcW w:type="dxa" w:w="5040"/>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Indoor GPS-denied survey and docking platform.</w:t>
            </w:r>
          </w:p>
        </w:tc>
      </w:tr>
      <w:tr>
        <w:trPr>
          <w:cantSplit/>
        </w:trPr>
        <w:tc>
          <w:tcPr>
            <w:tcW w:type="dxa" w:w="19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Core airframe</w:t>
            </w:r>
          </w:p>
        </w:tc>
        <w:tc>
          <w:tcPr>
            <w:tcW w:type="dxa" w:w="37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Custom carbon-fiber frame; 10 mm OD x 8 mm ID T700 tubes, carbon-fiber plates and custom clamps</w:t>
            </w:r>
          </w:p>
        </w:tc>
        <w:tc>
          <w:tcPr>
            <w:tcW w:type="dxa" w:w="5040"/>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Rigid, lightweight structure with reduced vibration and clean payload mounting.</w:t>
            </w:r>
          </w:p>
        </w:tc>
      </w:tr>
      <w:tr>
        <w:trPr>
          <w:cantSplit/>
        </w:trPr>
        <w:tc>
          <w:tcPr>
            <w:tcW w:type="dxa" w:w="19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Core footprint</w:t>
            </w:r>
          </w:p>
        </w:tc>
        <w:tc>
          <w:tcPr>
            <w:tcW w:type="dxa" w:w="37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Approx. 328 x 254 mm chassis envelope</w:t>
            </w:r>
          </w:p>
        </w:tc>
        <w:tc>
          <w:tcPr>
            <w:tcW w:type="dxa" w:w="5040"/>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Compact central structure; propeller span excluded.</w:t>
            </w:r>
          </w:p>
        </w:tc>
      </w:tr>
      <w:tr>
        <w:trPr>
          <w:cantSplit/>
        </w:trPr>
        <w:tc>
          <w:tcPr>
            <w:tcW w:type="dxa" w:w="19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Structural PCB</w:t>
            </w:r>
          </w:p>
        </w:tc>
        <w:tc>
          <w:tcPr>
            <w:tcW w:type="dxa" w:w="37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Custom 2 mm two-layer power / lower structural PCB</w:t>
            </w:r>
          </w:p>
        </w:tc>
        <w:tc>
          <w:tcPr>
            <w:tcW w:type="dxa" w:w="5040"/>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Reduces wiring, integrates power routing and supports docking contacts.</w:t>
            </w:r>
          </w:p>
        </w:tc>
      </w:tr>
      <w:tr>
        <w:trPr>
          <w:cantSplit/>
        </w:trPr>
        <w:tc>
          <w:tcPr>
            <w:tcW w:type="dxa" w:w="19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Landing interface</w:t>
            </w:r>
          </w:p>
        </w:tc>
        <w:tc>
          <w:tcPr>
            <w:tcW w:type="dxa" w:w="37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Custom landing gear and mechanical docking interface</w:t>
            </w:r>
          </w:p>
        </w:tc>
        <w:tc>
          <w:tcPr>
            <w:tcW w:type="dxa" w:w="5040"/>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Supports controlled landing, active centering and pogo-pin mating.</w:t>
            </w:r>
          </w:p>
        </w:tc>
      </w:tr>
      <w:tr>
        <w:trPr>
          <w:cantSplit/>
        </w:trPr>
        <w:tc>
          <w:tcPr>
            <w:tcW w:type="dxa" w:w="19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Motors</w:t>
            </w:r>
          </w:p>
        </w:tc>
        <w:tc>
          <w:tcPr>
            <w:tcW w:type="dxa" w:w="37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4 x T-Motor Navigator MN3110, 470 KV</w:t>
            </w:r>
          </w:p>
        </w:tc>
        <w:tc>
          <w:tcPr>
            <w:tcW w:type="dxa" w:w="5040"/>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Low-speed thrust control and stable lift for indoor autonomy.</w:t>
            </w:r>
          </w:p>
        </w:tc>
      </w:tr>
      <w:tr>
        <w:trPr>
          <w:cantSplit/>
        </w:trPr>
        <w:tc>
          <w:tcPr>
            <w:tcW w:type="dxa" w:w="19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Propellers</w:t>
            </w:r>
          </w:p>
        </w:tc>
        <w:tc>
          <w:tcPr>
            <w:tcW w:type="dxa" w:w="37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14 x 4.7 in Pro-Range carbon-nylon, CW/CCW</w:t>
            </w:r>
          </w:p>
        </w:tc>
        <w:tc>
          <w:tcPr>
            <w:tcW w:type="dxa" w:w="5040"/>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Efficient lift with mechanically robust blades.</w:t>
            </w:r>
          </w:p>
        </w:tc>
      </w:tr>
      <w:tr>
        <w:trPr>
          <w:cantSplit/>
        </w:trPr>
        <w:tc>
          <w:tcPr>
            <w:tcW w:type="dxa" w:w="19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ESC</w:t>
            </w:r>
          </w:p>
        </w:tc>
        <w:tc>
          <w:tcPr>
            <w:tcW w:type="dxa" w:w="37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T-Motor F55A Pro III 4-in-1 ESC, 3-8S</w:t>
            </w:r>
          </w:p>
        </w:tc>
        <w:tc>
          <w:tcPr>
            <w:tcW w:type="dxa" w:w="5040"/>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Single integrated controller for all four brushless motors.</w:t>
            </w:r>
          </w:p>
        </w:tc>
      </w:tr>
      <w:tr>
        <w:trPr>
          <w:cantSplit/>
        </w:trPr>
        <w:tc>
          <w:tcPr>
            <w:tcW w:type="dxa" w:w="19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Battery</w:t>
            </w:r>
          </w:p>
        </w:tc>
        <w:tc>
          <w:tcPr>
            <w:tcW w:type="dxa" w:w="37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4S lithium-ion, 2800 mAh</w:t>
            </w:r>
          </w:p>
        </w:tc>
        <w:tc>
          <w:tcPr>
            <w:tcW w:type="dxa" w:w="5040"/>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Main flight and embedded-electronics energy source.</w:t>
            </w:r>
          </w:p>
        </w:tc>
      </w:tr>
      <w:tr>
        <w:trPr>
          <w:cantSplit/>
        </w:trPr>
        <w:tc>
          <w:tcPr>
            <w:tcW w:type="dxa" w:w="19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Power sensing</w:t>
            </w:r>
          </w:p>
        </w:tc>
        <w:tc>
          <w:tcPr>
            <w:tcW w:type="dxa" w:w="37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APM/Pixhawk power module, XT60, 28 V / 90 A, 3 A BEC</w:t>
            </w:r>
          </w:p>
        </w:tc>
        <w:tc>
          <w:tcPr>
            <w:tcW w:type="dxa" w:w="5040"/>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Battery voltage/current telemetry and regulated flight-controller supply.</w:t>
            </w:r>
          </w:p>
        </w:tc>
      </w:tr>
      <w:tr>
        <w:trPr>
          <w:cantSplit/>
        </w:trPr>
        <w:tc>
          <w:tcPr>
            <w:tcW w:type="dxa" w:w="19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DC regulation</w:t>
            </w:r>
          </w:p>
        </w:tc>
        <w:tc>
          <w:tcPr>
            <w:tcW w:type="dxa" w:w="37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MINI560 5 V / 5 A buck + 200 W / 20 A adjustable buck</w:t>
            </w:r>
          </w:p>
        </w:tc>
        <w:tc>
          <w:tcPr>
            <w:tcW w:type="dxa" w:w="5040"/>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Regulated rails for Raspberry Pi, sensors and payload electronics.</w:t>
            </w:r>
          </w:p>
        </w:tc>
      </w:tr>
      <w:tr>
        <w:trPr>
          <w:cantSplit/>
        </w:trPr>
        <w:tc>
          <w:tcPr>
            <w:tcW w:type="dxa" w:w="19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Flight controller</w:t>
            </w:r>
          </w:p>
        </w:tc>
        <w:tc>
          <w:tcPr>
            <w:tcW w:type="dxa" w:w="37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Pixhawk 6C; STM32H743 Cortex-M7, 480 MHz, redundant IMUs</w:t>
            </w:r>
          </w:p>
        </w:tc>
        <w:tc>
          <w:tcPr>
            <w:tcW w:type="dxa" w:w="5040"/>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Attitude/rate control, motor mixing, estimator, arming and immediate failsafes.</w:t>
            </w:r>
          </w:p>
        </w:tc>
      </w:tr>
      <w:tr>
        <w:trPr>
          <w:cantSplit/>
        </w:trPr>
        <w:tc>
          <w:tcPr>
            <w:tcW w:type="dxa" w:w="19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Autopilot</w:t>
            </w:r>
          </w:p>
        </w:tc>
        <w:tc>
          <w:tcPr>
            <w:tcW w:type="dxa" w:w="37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PX4</w:t>
            </w:r>
          </w:p>
        </w:tc>
        <w:tc>
          <w:tcPr>
            <w:tcW w:type="dxa" w:w="5040"/>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Position/altitude control, offboard interface and safety logic.</w:t>
            </w:r>
          </w:p>
        </w:tc>
      </w:tr>
      <w:tr>
        <w:trPr>
          <w:cantSplit/>
        </w:trPr>
        <w:tc>
          <w:tcPr>
            <w:tcW w:type="dxa" w:w="19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Companion computer</w:t>
            </w:r>
          </w:p>
        </w:tc>
        <w:tc>
          <w:tcPr>
            <w:tcW w:type="dxa" w:w="37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Raspberry Pi 5, 16 GB RAM, 512 GB NVMe SSD</w:t>
            </w:r>
          </w:p>
        </w:tc>
        <w:tc>
          <w:tcPr>
            <w:tcW w:type="dxa" w:w="5040"/>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Mission supervisor, logging, image handling and onboard AI processing.</w:t>
            </w:r>
          </w:p>
        </w:tc>
      </w:tr>
      <w:tr>
        <w:trPr>
          <w:cantSplit/>
        </w:trPr>
        <w:tc>
          <w:tcPr>
            <w:tcW w:type="dxa" w:w="19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Mission interface</w:t>
            </w:r>
          </w:p>
        </w:tc>
        <w:tc>
          <w:tcPr>
            <w:tcW w:type="dxa" w:w="37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Python mission software using MAVSDK / MAVLink</w:t>
            </w:r>
          </w:p>
        </w:tc>
        <w:tc>
          <w:tcPr>
            <w:tcW w:type="dxa" w:w="5040"/>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Pre-flight checks, takeoff, lane survey, RTL, landing and event logging.</w:t>
            </w:r>
          </w:p>
        </w:tc>
      </w:tr>
      <w:tr>
        <w:trPr>
          <w:cantSplit/>
        </w:trPr>
        <w:tc>
          <w:tcPr>
            <w:tcW w:type="dxa" w:w="19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Primary indoor sensing</w:t>
            </w:r>
          </w:p>
        </w:tc>
        <w:tc>
          <w:tcPr>
            <w:tcW w:type="dxa" w:w="37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SLAMTEC RPLIDAR A1M8, 360-degree 2D scan, approx. 6-12 m range</w:t>
            </w:r>
          </w:p>
        </w:tc>
        <w:tc>
          <w:tcPr>
            <w:tcW w:type="dxa" w:w="5040"/>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Arena-wall perception, lane support, obstacle awareness and safety boundary triggering.</w:t>
            </w:r>
          </w:p>
        </w:tc>
      </w:tr>
      <w:tr>
        <w:trPr>
          <w:cantSplit/>
        </w:trPr>
        <w:tc>
          <w:tcPr>
            <w:tcW w:type="dxa" w:w="19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Hover / altitude aid</w:t>
            </w:r>
          </w:p>
        </w:tc>
        <w:tc>
          <w:tcPr>
            <w:tcW w:type="dxa" w:w="37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Holybro H-Flow optical flow + integrated ToF rangefinder and IMU</w:t>
            </w:r>
          </w:p>
        </w:tc>
        <w:tc>
          <w:tcPr>
            <w:tcW w:type="dxa" w:w="5040"/>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Near-ground motion estimation, hover stabilization and altitude support.</w:t>
            </w:r>
          </w:p>
        </w:tc>
      </w:tr>
      <w:tr>
        <w:trPr>
          <w:cantSplit/>
        </w:trPr>
        <w:tc>
          <w:tcPr>
            <w:tcW w:type="dxa" w:w="19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AI camera</w:t>
            </w:r>
          </w:p>
        </w:tc>
        <w:tc>
          <w:tcPr>
            <w:tcW w:type="dxa" w:w="37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Raspberry Pi AI Camera, Sony IMX500, 12 MP with on-sensor neural processing</w:t>
            </w:r>
          </w:p>
        </w:tc>
        <w:tc>
          <w:tcPr>
            <w:tcW w:type="dxa" w:w="5040"/>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HD feature-image capture and visual inspection.</w:t>
            </w:r>
          </w:p>
        </w:tc>
      </w:tr>
      <w:tr>
        <w:trPr>
          <w:cantSplit/>
        </w:trPr>
        <w:tc>
          <w:tcPr>
            <w:tcW w:type="dxa" w:w="19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AI accelerator</w:t>
            </w:r>
          </w:p>
        </w:tc>
        <w:tc>
          <w:tcPr>
            <w:tcW w:type="dxa" w:w="37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Raspberry Pi AI HAT+ 2, Hailo accelerator, 40 TOPS</w:t>
            </w:r>
          </w:p>
        </w:tc>
        <w:tc>
          <w:tcPr>
            <w:tcW w:type="dxa" w:w="5040"/>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Accelerated inference and post-flight visual analysis.</w:t>
            </w:r>
          </w:p>
        </w:tc>
      </w:tr>
      <w:tr>
        <w:trPr>
          <w:cantSplit/>
        </w:trPr>
        <w:tc>
          <w:tcPr>
            <w:tcW w:type="dxa" w:w="19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Thermal sensing</w:t>
            </w:r>
          </w:p>
        </w:tc>
        <w:tc>
          <w:tcPr>
            <w:tcW w:type="dxa" w:w="37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Waveshare MLX90640, 32 x 24 pixels, 55-degree FOV, I2C</w:t>
            </w:r>
          </w:p>
        </w:tc>
        <w:tc>
          <w:tcPr>
            <w:tcW w:type="dxa" w:w="5040"/>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Auxiliary surface-temperature scanning and feature classification.</w:t>
            </w:r>
          </w:p>
        </w:tc>
      </w:tr>
      <w:tr>
        <w:trPr>
          <w:cantSplit/>
        </w:trPr>
        <w:tc>
          <w:tcPr>
            <w:tcW w:type="dxa" w:w="19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Communications</w:t>
            </w:r>
          </w:p>
        </w:tc>
        <w:tc>
          <w:tcPr>
            <w:tcW w:type="dxa" w:w="37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Pixhawk-RPi serial/USB MAVLink; Wi-Fi for monitoring; docked Ethernet for data offload</w:t>
            </w:r>
          </w:p>
        </w:tc>
        <w:tc>
          <w:tcPr>
            <w:tcW w:type="dxa" w:w="5040"/>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Separates flight-critical control from high-volume mission-data transfer.</w:t>
            </w:r>
          </w:p>
        </w:tc>
      </w:tr>
      <w:tr>
        <w:trPr>
          <w:cantSplit/>
        </w:trPr>
        <w:tc>
          <w:tcPr>
            <w:tcW w:type="dxa" w:w="19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Data pipeline</w:t>
            </w:r>
          </w:p>
        </w:tc>
        <w:tc>
          <w:tcPr>
            <w:tcW w:type="dxa" w:w="37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HD capture -&gt; dock transfer -&gt; LR conversion -&gt; SIFT/KNN/RANSAC matching -&gt; result logging</w:t>
            </w:r>
          </w:p>
        </w:tc>
        <w:tc>
          <w:tcPr>
            <w:tcW w:type="dxa" w:w="5040"/>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Target detection, coordinate record, proof-image storage and report generation.</w:t>
            </w:r>
          </w:p>
        </w:tc>
      </w:tr>
      <w:tr>
        <w:trPr>
          <w:cantSplit/>
        </w:trPr>
        <w:tc>
          <w:tcPr>
            <w:tcW w:type="dxa" w:w="19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Monitoring</w:t>
            </w:r>
          </w:p>
        </w:tc>
        <w:tc>
          <w:tcPr>
            <w:tcW w:type="dxa" w:w="37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Custom web dashboard and flight/mission logs</w:t>
            </w:r>
          </w:p>
        </w:tc>
        <w:tc>
          <w:tcPr>
            <w:tcW w:type="dxa" w:w="5040"/>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Mission state, active path, sensor health, detections and docking status.</w:t>
            </w:r>
          </w:p>
        </w:tc>
      </w:tr>
      <w:tr>
        <w:trPr>
          <w:cantSplit/>
        </w:trPr>
        <w:tc>
          <w:tcPr>
            <w:tcW w:type="dxa" w:w="19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Validated functions</w:t>
            </w:r>
          </w:p>
        </w:tc>
        <w:tc>
          <w:tcPr>
            <w:tcW w:type="dxa" w:w="37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Autonomous takeoff, survey, coordinate determination, return/landing support, charging and data validation</w:t>
            </w:r>
          </w:p>
        </w:tc>
        <w:tc>
          <w:tcPr>
            <w:tcW w:type="dxa" w:w="5040"/>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Demonstrated as the integrated challenge workflow.</w:t>
            </w:r>
          </w:p>
        </w:tc>
      </w:tr>
    </w:tbl>
    <w:tbl>
      <w:tblPr>
        <w:tblW w:type="auto" w:w="0"/>
        <w:jc w:val="center"/>
        <w:tblLayout w:type="fixed"/>
        <w:tblLook w:firstColumn="1" w:firstRow="1" w:lastColumn="0" w:lastRow="0" w:noHBand="0" w:noVBand="1" w:val="04A0"/>
      </w:tblPr>
      <w:tblGrid>
        <w:gridCol w:w="10757"/>
      </w:tblGrid>
      <w:tr>
        <w:tc>
          <w:tcPr>
            <w:tcW w:type="dxa" w:w="10728"/>
            <w:shd w:fill="FFF2CC"/>
            <w:tcMar>
              <w:top w:w="45" w:type="dxa"/>
              <w:start w:w="65" w:type="dxa"/>
              <w:bottom w:w="45" w:type="dxa"/>
              <w:end w:w="65" w:type="dxa"/>
            </w:tcMar>
            <w:tcBorders>
              <w:top w:val="single" w:sz="4" w:color="D6B656"/>
              <w:left w:val="single" w:sz="4" w:color="D6B656"/>
              <w:bottom w:val="single" w:sz="4" w:color="D6B656"/>
              <w:right w:val="single" w:sz="4" w:color="D6B656"/>
            </w:tcBorders>
          </w:tcPr>
          <w:p>
            <w:pPr>
              <w:spacing w:after="0"/>
              <w:jc w:val="left"/>
            </w:pPr>
            <w:r>
              <w:rPr>
                <w:rFonts w:ascii="Arial" w:hAnsi="Arial" w:eastAsia="Arial"/>
                <w:color w:val="7F6000"/>
                <w:sz w:val="14"/>
              </w:rPr>
              <w:t>Configuration control: This sheet lists the active final stack. Earlier Livox MID360 / OAK-D development configurations are not part of this frozen specification unless physically reinstated before submission.</w:t>
            </w:r>
          </w:p>
        </w:tc>
      </w:tr>
    </w:tbl>
    <w:p>
      <w:r>
        <w:br w:type="page"/>
      </w:r>
    </w:p>
    <w:tbl>
      <w:tblPr>
        <w:tblW w:type="auto" w:w="0"/>
        <w:jc w:val="center"/>
        <w:tblLayout w:type="fixed"/>
        <w:tblLook w:firstColumn="1" w:firstRow="1" w:lastColumn="0" w:lastRow="0" w:noHBand="0" w:noVBand="1" w:val="04A0"/>
      </w:tblPr>
      <w:tblGrid>
        <w:gridCol w:w="10757"/>
      </w:tblGrid>
      <w:tr>
        <w:tc>
          <w:tcPr>
            <w:tcW w:type="dxa" w:w="10728"/>
            <w:shd w:fill="17365D"/>
            <w:tcMar>
              <w:top w:w="75" w:type="dxa"/>
              <w:start w:w="110" w:type="dxa"/>
              <w:bottom w:w="70" w:type="dxa"/>
              <w:end w:w="110" w:type="dxa"/>
            </w:tcMar>
          </w:tcPr>
          <w:p>
            <w:pPr>
              <w:spacing w:after="20"/>
              <w:jc w:val="center"/>
            </w:pPr>
            <w:r>
              <w:rPr>
                <w:rFonts w:ascii="Arial" w:hAnsi="Arial" w:eastAsia="Arial"/>
                <w:b/>
                <w:color w:val="FFFFFF"/>
                <w:sz w:val="32"/>
              </w:rPr>
              <w:t>FINAL BASE STATION SPECIFICATION</w:t>
            </w:r>
          </w:p>
          <w:p>
            <w:pPr>
              <w:spacing w:before="0" w:after="0"/>
              <w:jc w:val="center"/>
            </w:pPr>
            <w:r>
              <w:rPr>
                <w:rFonts w:ascii="Arial" w:hAnsi="Arial" w:eastAsia="Arial"/>
                <w:color w:val="D9EAF7"/>
                <w:sz w:val="17"/>
              </w:rPr>
              <w:t>Automated docking, centering, charging, data transfer and post-flight analysis</w:t>
            </w:r>
          </w:p>
        </w:tc>
      </w:tr>
    </w:tbl>
    <w:tbl>
      <w:tblPr>
        <w:tblW w:type="auto" w:w="0"/>
        <w:jc w:val="center"/>
        <w:tblLayout w:type="fixed"/>
        <w:tblLook w:firstColumn="1" w:firstRow="1" w:lastColumn="0" w:lastRow="0" w:noHBand="0" w:noVBand="1" w:val="04A0"/>
      </w:tblPr>
      <w:tblGrid>
        <w:gridCol w:w="2689"/>
        <w:gridCol w:w="2689"/>
        <w:gridCol w:w="2689"/>
        <w:gridCol w:w="2689"/>
      </w:tblGrid>
      <w:tr>
        <w:trPr>
          <w:cantSplit/>
        </w:trPr>
        <w:tc>
          <w:tcPr>
            <w:tcW w:type="dxa" w:w="1080"/>
            <w:tcMar>
              <w:top w:w="35" w:type="dxa"/>
              <w:start w:w="55" w:type="dxa"/>
              <w:bottom w:w="35" w:type="dxa"/>
              <w:end w:w="55" w:type="dxa"/>
            </w:tcMar>
            <w:tcBorders>
              <w:top w:val="single" w:sz="4" w:color="A7B5C5"/>
              <w:left w:val="single" w:sz="4" w:color="A7B5C5"/>
              <w:bottom w:val="single" w:sz="4" w:color="A7B5C5"/>
              <w:right w:val="single" w:sz="4" w:color="A7B5C5"/>
            </w:tcBorders>
            <w:shd w:fill="DCE6F1"/>
          </w:tcPr>
          <w:p>
            <w:pPr>
              <w:spacing w:before="0" w:after="0" w:line="228" w:lineRule="auto"/>
              <w:jc w:val="left"/>
            </w:pPr>
            <w:r>
              <w:rPr>
                <w:rFonts w:ascii="Arial" w:hAnsi="Arial" w:eastAsia="Arial"/>
                <w:b/>
                <w:color w:val="17365D"/>
                <w:sz w:val="15"/>
              </w:rPr>
              <w:t>Team</w:t>
            </w:r>
          </w:p>
        </w:tc>
        <w:tc>
          <w:tcPr>
            <w:tcW w:type="dxa" w:w="3384"/>
            <w:tcMar>
              <w:top w:w="35" w:type="dxa"/>
              <w:start w:w="55" w:type="dxa"/>
              <w:bottom w:w="35" w:type="dxa"/>
              <w:end w:w="55" w:type="dxa"/>
            </w:tcMar>
            <w:tcBorders>
              <w:top w:val="single" w:sz="4" w:color="A7B5C5"/>
              <w:left w:val="single" w:sz="4" w:color="A7B5C5"/>
              <w:bottom w:val="single" w:sz="4" w:color="A7B5C5"/>
              <w:right w:val="single" w:sz="4" w:color="A7B5C5"/>
            </w:tcBorders>
          </w:tcPr>
          <w:p>
            <w:pPr>
              <w:spacing w:before="0" w:after="0" w:line="228" w:lineRule="auto"/>
              <w:jc w:val="left"/>
            </w:pPr>
            <w:r>
              <w:rPr>
                <w:rFonts w:ascii="Arial" w:hAnsi="Arial" w:eastAsia="Arial"/>
                <w:b w:val="0"/>
                <w:color w:val="1F2937"/>
                <w:sz w:val="15"/>
              </w:rPr>
              <w:t>IIC SIT</w:t>
            </w:r>
          </w:p>
        </w:tc>
        <w:tc>
          <w:tcPr>
            <w:tcW w:type="dxa" w:w="1080"/>
            <w:tcMar>
              <w:top w:w="35" w:type="dxa"/>
              <w:start w:w="55" w:type="dxa"/>
              <w:bottom w:w="35" w:type="dxa"/>
              <w:end w:w="55" w:type="dxa"/>
            </w:tcMar>
            <w:tcBorders>
              <w:top w:val="single" w:sz="4" w:color="A7B5C5"/>
              <w:left w:val="single" w:sz="4" w:color="A7B5C5"/>
              <w:bottom w:val="single" w:sz="4" w:color="A7B5C5"/>
              <w:right w:val="single" w:sz="4" w:color="A7B5C5"/>
            </w:tcBorders>
            <w:shd w:fill="DCE6F1"/>
          </w:tcPr>
          <w:p>
            <w:pPr>
              <w:spacing w:before="0" w:after="0" w:line="228" w:lineRule="auto"/>
              <w:jc w:val="left"/>
            </w:pPr>
            <w:r>
              <w:rPr>
                <w:rFonts w:ascii="Arial" w:hAnsi="Arial" w:eastAsia="Arial"/>
                <w:b/>
                <w:color w:val="17365D"/>
                <w:sz w:val="15"/>
              </w:rPr>
              <w:t>Team ID</w:t>
            </w:r>
          </w:p>
        </w:tc>
        <w:tc>
          <w:tcPr>
            <w:tcW w:type="dxa" w:w="5184"/>
            <w:tcMar>
              <w:top w:w="35" w:type="dxa"/>
              <w:start w:w="55" w:type="dxa"/>
              <w:bottom w:w="35" w:type="dxa"/>
              <w:end w:w="55" w:type="dxa"/>
            </w:tcMar>
            <w:tcBorders>
              <w:top w:val="single" w:sz="4" w:color="A7B5C5"/>
              <w:left w:val="single" w:sz="4" w:color="A7B5C5"/>
              <w:bottom w:val="single" w:sz="4" w:color="A7B5C5"/>
              <w:right w:val="single" w:sz="4" w:color="A7B5C5"/>
            </w:tcBorders>
          </w:tcPr>
          <w:p>
            <w:pPr>
              <w:spacing w:before="0" w:after="0" w:line="228" w:lineRule="auto"/>
              <w:jc w:val="left"/>
            </w:pPr>
            <w:r>
              <w:rPr>
                <w:rFonts w:ascii="Arial" w:hAnsi="Arial" w:eastAsia="Arial"/>
                <w:b w:val="0"/>
                <w:color w:val="1F2937"/>
                <w:sz w:val="15"/>
              </w:rPr>
              <w:t>10144</w:t>
            </w:r>
          </w:p>
        </w:tc>
      </w:tr>
      <w:tr>
        <w:trPr>
          <w:cantSplit/>
        </w:trPr>
        <w:tc>
          <w:tcPr>
            <w:tcW w:type="dxa" w:w="1080"/>
            <w:tcMar>
              <w:top w:w="35" w:type="dxa"/>
              <w:start w:w="55" w:type="dxa"/>
              <w:bottom w:w="35" w:type="dxa"/>
              <w:end w:w="55" w:type="dxa"/>
            </w:tcMar>
            <w:tcBorders>
              <w:top w:val="single" w:sz="4" w:color="A7B5C5"/>
              <w:left w:val="single" w:sz="4" w:color="A7B5C5"/>
              <w:bottom w:val="single" w:sz="4" w:color="A7B5C5"/>
              <w:right w:val="single" w:sz="4" w:color="A7B5C5"/>
            </w:tcBorders>
            <w:shd w:fill="DCE6F1"/>
          </w:tcPr>
          <w:p>
            <w:pPr>
              <w:spacing w:before="0" w:after="0" w:line="228" w:lineRule="auto"/>
              <w:jc w:val="left"/>
            </w:pPr>
            <w:r>
              <w:rPr>
                <w:rFonts w:ascii="Arial" w:hAnsi="Arial" w:eastAsia="Arial"/>
                <w:b/>
                <w:color w:val="17365D"/>
                <w:sz w:val="15"/>
              </w:rPr>
              <w:t>Institute</w:t>
            </w:r>
          </w:p>
        </w:tc>
        <w:tc>
          <w:tcPr>
            <w:tcW w:type="dxa" w:w="3384"/>
            <w:tcMar>
              <w:top w:w="35" w:type="dxa"/>
              <w:start w:w="55" w:type="dxa"/>
              <w:bottom w:w="35" w:type="dxa"/>
              <w:end w:w="55" w:type="dxa"/>
            </w:tcMar>
            <w:tcBorders>
              <w:top w:val="single" w:sz="4" w:color="A7B5C5"/>
              <w:left w:val="single" w:sz="4" w:color="A7B5C5"/>
              <w:bottom w:val="single" w:sz="4" w:color="A7B5C5"/>
              <w:right w:val="single" w:sz="4" w:color="A7B5C5"/>
            </w:tcBorders>
          </w:tcPr>
          <w:p>
            <w:pPr>
              <w:spacing w:before="0" w:after="0" w:line="228" w:lineRule="auto"/>
              <w:jc w:val="left"/>
            </w:pPr>
            <w:r>
              <w:rPr>
                <w:rFonts w:ascii="Arial" w:hAnsi="Arial" w:eastAsia="Arial"/>
                <w:b w:val="0"/>
                <w:color w:val="1F2937"/>
                <w:sz w:val="15"/>
              </w:rPr>
              <w:t>Sinhgad Institute of Technology, Lonavala</w:t>
            </w:r>
          </w:p>
        </w:tc>
        <w:tc>
          <w:tcPr>
            <w:tcW w:type="dxa" w:w="1080"/>
            <w:tcMar>
              <w:top w:w="35" w:type="dxa"/>
              <w:start w:w="55" w:type="dxa"/>
              <w:bottom w:w="35" w:type="dxa"/>
              <w:end w:w="55" w:type="dxa"/>
            </w:tcMar>
            <w:tcBorders>
              <w:top w:val="single" w:sz="4" w:color="A7B5C5"/>
              <w:left w:val="single" w:sz="4" w:color="A7B5C5"/>
              <w:bottom w:val="single" w:sz="4" w:color="A7B5C5"/>
              <w:right w:val="single" w:sz="4" w:color="A7B5C5"/>
            </w:tcBorders>
            <w:shd w:fill="DCE6F1"/>
          </w:tcPr>
          <w:p>
            <w:pPr>
              <w:spacing w:before="0" w:after="0" w:line="228" w:lineRule="auto"/>
              <w:jc w:val="left"/>
            </w:pPr>
            <w:r>
              <w:rPr>
                <w:rFonts w:ascii="Arial" w:hAnsi="Arial" w:eastAsia="Arial"/>
                <w:b/>
                <w:color w:val="17365D"/>
                <w:sz w:val="15"/>
              </w:rPr>
              <w:t>Document</w:t>
            </w:r>
          </w:p>
        </w:tc>
        <w:tc>
          <w:tcPr>
            <w:tcW w:type="dxa" w:w="5184"/>
            <w:tcMar>
              <w:top w:w="35" w:type="dxa"/>
              <w:start w:w="55" w:type="dxa"/>
              <w:bottom w:w="35" w:type="dxa"/>
              <w:end w:w="55" w:type="dxa"/>
            </w:tcMar>
            <w:tcBorders>
              <w:top w:val="single" w:sz="4" w:color="A7B5C5"/>
              <w:left w:val="single" w:sz="4" w:color="A7B5C5"/>
              <w:bottom w:val="single" w:sz="4" w:color="A7B5C5"/>
              <w:right w:val="single" w:sz="4" w:color="A7B5C5"/>
            </w:tcBorders>
          </w:tcPr>
          <w:p>
            <w:pPr>
              <w:spacing w:before="0" w:after="0" w:line="228" w:lineRule="auto"/>
              <w:jc w:val="left"/>
            </w:pPr>
            <w:r>
              <w:rPr>
                <w:rFonts w:ascii="Arial" w:hAnsi="Arial" w:eastAsia="Arial"/>
                <w:b w:val="0"/>
                <w:color w:val="1F2937"/>
                <w:sz w:val="15"/>
              </w:rPr>
              <w:t>Final active configuration - 11 July 2026</w:t>
            </w:r>
          </w:p>
        </w:tc>
      </w:tr>
    </w:tbl>
    <w:p>
      <w:pPr>
        <w:spacing w:before="60" w:after="60" w:line="228" w:lineRule="auto"/>
        <w:jc w:val="both"/>
      </w:pPr>
      <w:r>
        <w:rPr>
          <w:rFonts w:ascii="Arial" w:hAnsi="Arial" w:eastAsia="Arial"/>
          <w:color w:val="1F2937"/>
          <w:sz w:val="16"/>
        </w:rPr>
        <w:t>The v6.1 base station receives the landed drone, mechanically centers it, protects and actuates the docking interface, verifies electrical contact, transfers mission data through wired Ethernet, charges the 4S battery, and presents post-flight results on a local dashboard.</w:t>
      </w:r>
    </w:p>
    <w:p>
      <w:pPr>
        <w:spacing w:before="40" w:after="20"/>
      </w:pPr>
      <w:r>
        <w:rPr>
          <w:rFonts w:ascii="Arial" w:hAnsi="Arial" w:eastAsia="Arial"/>
          <w:b/>
          <w:color w:val="17365D"/>
          <w:sz w:val="20"/>
        </w:rPr>
        <w:t>2. Final Base Station Specification</w:t>
      </w:r>
    </w:p>
    <w:tbl>
      <w:tblPr>
        <w:tblW w:type="auto" w:w="0"/>
        <w:jc w:val="center"/>
        <w:tblLayout w:type="fixed"/>
        <w:tblLook w:firstColumn="1" w:firstRow="1" w:lastColumn="0" w:lastRow="0" w:noHBand="0" w:noVBand="1" w:val="04A0"/>
      </w:tblPr>
      <w:tblGrid>
        <w:gridCol w:w="3586"/>
        <w:gridCol w:w="3586"/>
        <w:gridCol w:w="3586"/>
      </w:tblGrid>
      <w:tr>
        <w:trPr>
          <w:tblHeader w:val="true"/>
        </w:trPr>
        <w:tc>
          <w:tcPr>
            <w:tcW w:type="dxa" w:w="1944"/>
            <w:shd w:fill="2F5597"/>
            <w:tcMar>
              <w:top w:w="45" w:type="dxa"/>
              <w:start w:w="55" w:type="dxa"/>
              <w:bottom w:w="45" w:type="dxa"/>
              <w:end w:w="55" w:type="dxa"/>
            </w:tcMar>
            <w:tcBorders>
              <w:top w:val="single" w:sz="5" w:color="FFFFFF"/>
              <w:left w:val="single" w:sz="5" w:color="FFFFFF"/>
              <w:bottom w:val="single" w:sz="5" w:color="FFFFFF"/>
              <w:right w:val="single" w:sz="5" w:color="FFFFFF"/>
            </w:tcBorders>
          </w:tcPr>
          <w:p>
            <w:pPr>
              <w:spacing w:before="0" w:after="0" w:line="228" w:lineRule="auto"/>
              <w:jc w:val="center"/>
            </w:pPr>
            <w:r>
              <w:rPr>
                <w:rFonts w:ascii="Arial" w:hAnsi="Arial" w:eastAsia="Arial"/>
                <w:b/>
                <w:color w:val="FFFFFF"/>
                <w:sz w:val="15"/>
              </w:rPr>
              <w:t>Subsystem / Item</w:t>
            </w:r>
          </w:p>
        </w:tc>
        <w:tc>
          <w:tcPr>
            <w:tcW w:type="dxa" w:w="3744"/>
            <w:shd w:fill="2F5597"/>
            <w:tcMar>
              <w:top w:w="45" w:type="dxa"/>
              <w:start w:w="55" w:type="dxa"/>
              <w:bottom w:w="45" w:type="dxa"/>
              <w:end w:w="55" w:type="dxa"/>
            </w:tcMar>
            <w:tcBorders>
              <w:top w:val="single" w:sz="5" w:color="FFFFFF"/>
              <w:left w:val="single" w:sz="5" w:color="FFFFFF"/>
              <w:bottom w:val="single" w:sz="5" w:color="FFFFFF"/>
              <w:right w:val="single" w:sz="5" w:color="FFFFFF"/>
            </w:tcBorders>
          </w:tcPr>
          <w:p>
            <w:pPr>
              <w:spacing w:before="0" w:after="0" w:line="228" w:lineRule="auto"/>
              <w:jc w:val="center"/>
            </w:pPr>
            <w:r>
              <w:rPr>
                <w:rFonts w:ascii="Arial" w:hAnsi="Arial" w:eastAsia="Arial"/>
                <w:b/>
                <w:color w:val="FFFFFF"/>
                <w:sz w:val="15"/>
              </w:rPr>
              <w:t>Final specification</w:t>
            </w:r>
          </w:p>
        </w:tc>
        <w:tc>
          <w:tcPr>
            <w:tcW w:type="dxa" w:w="5040"/>
            <w:shd w:fill="2F5597"/>
            <w:tcMar>
              <w:top w:w="45" w:type="dxa"/>
              <w:start w:w="55" w:type="dxa"/>
              <w:bottom w:w="45" w:type="dxa"/>
              <w:end w:w="55" w:type="dxa"/>
            </w:tcMar>
            <w:tcBorders>
              <w:top w:val="single" w:sz="5" w:color="FFFFFF"/>
              <w:left w:val="single" w:sz="5" w:color="FFFFFF"/>
              <w:bottom w:val="single" w:sz="5" w:color="FFFFFF"/>
              <w:right w:val="single" w:sz="5" w:color="FFFFFF"/>
            </w:tcBorders>
          </w:tcPr>
          <w:p>
            <w:pPr>
              <w:spacing w:before="0" w:after="0" w:line="228" w:lineRule="auto"/>
              <w:jc w:val="center"/>
            </w:pPr>
            <w:r>
              <w:rPr>
                <w:rFonts w:ascii="Arial" w:hAnsi="Arial" w:eastAsia="Arial"/>
                <w:b/>
                <w:color w:val="FFFFFF"/>
                <w:sz w:val="15"/>
              </w:rPr>
              <w:t>Function / implementation</w:t>
            </w:r>
          </w:p>
        </w:tc>
      </w:tr>
      <w:tr>
        <w:trPr>
          <w:cantSplit/>
        </w:trPr>
        <w:tc>
          <w:tcPr>
            <w:tcW w:type="dxa" w:w="19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Primary functions</w:t>
            </w:r>
          </w:p>
        </w:tc>
        <w:tc>
          <w:tcPr>
            <w:tcW w:type="dxa" w:w="37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Autonomous docking compatibility, minimum 5% battery increase, and LAN-to-LAN data transfer</w:t>
            </w:r>
          </w:p>
        </w:tc>
        <w:tc>
          <w:tcPr>
            <w:tcW w:type="dxa" w:w="5040"/>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Implements the challenge docking, charging and data-transfer tasks.</w:t>
            </w:r>
          </w:p>
        </w:tc>
      </w:tr>
      <w:tr>
        <w:trPr>
          <w:cantSplit/>
        </w:trPr>
        <w:tc>
          <w:tcPr>
            <w:tcW w:type="dxa" w:w="19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Landing platform</w:t>
            </w:r>
          </w:p>
        </w:tc>
        <w:tc>
          <w:tcPr>
            <w:tcW w:type="dxa" w:w="37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Approx. 22 x 22 in landing/docking area</w:t>
            </w:r>
          </w:p>
        </w:tc>
        <w:tc>
          <w:tcPr>
            <w:tcW w:type="dxa" w:w="5040"/>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Provides a defined return and mechanical-centering zone.</w:t>
            </w:r>
          </w:p>
        </w:tc>
      </w:tr>
      <w:tr>
        <w:trPr>
          <w:cantSplit/>
        </w:trPr>
        <w:tc>
          <w:tcPr>
            <w:tcW w:type="dxa" w:w="19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Main frame</w:t>
            </w:r>
          </w:p>
        </w:tc>
        <w:tc>
          <w:tcPr>
            <w:tcW w:type="dxa" w:w="37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20 x 20 mm aluminum extrusion profiles</w:t>
            </w:r>
          </w:p>
        </w:tc>
        <w:tc>
          <w:tcPr>
            <w:tcW w:type="dxa" w:w="5040"/>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Rigid, modular and field-serviceable structure.</w:t>
            </w:r>
          </w:p>
        </w:tc>
      </w:tr>
      <w:tr>
        <w:trPr>
          <w:cantSplit/>
        </w:trPr>
        <w:tc>
          <w:tcPr>
            <w:tcW w:type="dxa" w:w="19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Joints / fasteners</w:t>
            </w:r>
          </w:p>
        </w:tc>
        <w:tc>
          <w:tcPr>
            <w:tcW w:type="dxa" w:w="37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Cast corner brackets; M5 x 0.8 x 25 screws, DIN 985 M5 lock nuts and washers</w:t>
            </w:r>
          </w:p>
        </w:tc>
        <w:tc>
          <w:tcPr>
            <w:tcW w:type="dxa" w:w="5040"/>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Resists loosening and maintains square alignment.</w:t>
            </w:r>
          </w:p>
        </w:tc>
      </w:tr>
      <w:tr>
        <w:trPr>
          <w:cantSplit/>
        </w:trPr>
        <w:tc>
          <w:tcPr>
            <w:tcW w:type="dxa" w:w="19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Landing surface</w:t>
            </w:r>
          </w:p>
        </w:tc>
        <w:tc>
          <w:tcPr>
            <w:tcW w:type="dxa" w:w="37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Smooth glass acrylic top with black acrylic side enclosure</w:t>
            </w:r>
          </w:p>
        </w:tc>
        <w:tc>
          <w:tcPr>
            <w:tcW w:type="dxa" w:w="5040"/>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Low-friction centering surface and protected internal hardware.</w:t>
            </w:r>
          </w:p>
        </w:tc>
      </w:tr>
      <w:tr>
        <w:trPr>
          <w:cantSplit/>
        </w:trPr>
        <w:tc>
          <w:tcPr>
            <w:tcW w:type="dxa" w:w="19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Active centering</w:t>
            </w:r>
          </w:p>
        </w:tc>
        <w:tc>
          <w:tcPr>
            <w:tcW w:type="dxa" w:w="37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Four-axis mechanical bed driven by 4 x NEMA 17 stepper motors</w:t>
            </w:r>
          </w:p>
        </w:tc>
        <w:tc>
          <w:tcPr>
            <w:tcW w:type="dxa" w:w="5040"/>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Moves the landed drone toward the docking center.</w:t>
            </w:r>
          </w:p>
        </w:tc>
      </w:tr>
      <w:tr>
        <w:trPr>
          <w:cantSplit/>
        </w:trPr>
        <w:tc>
          <w:tcPr>
            <w:tcW w:type="dxa" w:w="19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Lead-screw drive</w:t>
            </w:r>
          </w:p>
        </w:tc>
        <w:tc>
          <w:tcPr>
            <w:tcW w:type="dxa" w:w="37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T8 lead screws, 8 mm diameter, 1.25 mm pitch, custom brass nuts</w:t>
            </w:r>
          </w:p>
        </w:tc>
        <w:tc>
          <w:tcPr>
            <w:tcW w:type="dxa" w:w="5040"/>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Converts motor rotation into controlled linear motion.</w:t>
            </w:r>
          </w:p>
        </w:tc>
      </w:tr>
      <w:tr>
        <w:trPr>
          <w:cantSplit/>
        </w:trPr>
        <w:tc>
          <w:tcPr>
            <w:tcW w:type="dxa" w:w="19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Bearings</w:t>
            </w:r>
          </w:p>
        </w:tc>
        <w:tc>
          <w:tcPr>
            <w:tcW w:type="dxa" w:w="37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KP08 / KFL08 zinc-alloy pillow-block flange bearings</w:t>
            </w:r>
          </w:p>
        </w:tc>
        <w:tc>
          <w:tcPr>
            <w:tcW w:type="dxa" w:w="5040"/>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Supports screw rods and maintains concentricity.</w:t>
            </w:r>
          </w:p>
        </w:tc>
      </w:tr>
      <w:tr>
        <w:trPr>
          <w:cantSplit/>
        </w:trPr>
        <w:tc>
          <w:tcPr>
            <w:tcW w:type="dxa" w:w="19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Travel limits</w:t>
            </w:r>
          </w:p>
        </w:tc>
        <w:tc>
          <w:tcPr>
            <w:tcW w:type="dxa" w:w="37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8 x Omron snap-action limit switches</w:t>
            </w:r>
          </w:p>
        </w:tc>
        <w:tc>
          <w:tcPr>
            <w:tcW w:type="dxa" w:w="5040"/>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Homing, end-stop protection and repeatable centering travel.</w:t>
            </w:r>
          </w:p>
        </w:tc>
      </w:tr>
      <w:tr>
        <w:trPr>
          <w:cantSplit/>
        </w:trPr>
        <w:tc>
          <w:tcPr>
            <w:tcW w:type="dxa" w:w="19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Dock connector</w:t>
            </w:r>
          </w:p>
        </w:tc>
        <w:tc>
          <w:tcPr>
            <w:tcW w:type="dxa" w:w="37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Custom 3D-printed spring-loaded pogo-pin plate</w:t>
            </w:r>
          </w:p>
        </w:tc>
        <w:tc>
          <w:tcPr>
            <w:tcW w:type="dxa" w:w="5040"/>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Compensates for small alignment and level errors.</w:t>
            </w:r>
          </w:p>
        </w:tc>
      </w:tr>
      <w:tr>
        <w:trPr>
          <w:cantSplit/>
        </w:trPr>
        <w:tc>
          <w:tcPr>
            <w:tcW w:type="dxa" w:w="19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Power contacts</w:t>
            </w:r>
          </w:p>
        </w:tc>
        <w:tc>
          <w:tcPr>
            <w:tcW w:type="dxa" w:w="37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Dedicated high-current positive, negative and BMS/charging contacts</w:t>
            </w:r>
          </w:p>
        </w:tc>
        <w:tc>
          <w:tcPr>
            <w:tcW w:type="dxa" w:w="5040"/>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Safe 4S battery charging through the dock.</w:t>
            </w:r>
          </w:p>
        </w:tc>
      </w:tr>
      <w:tr>
        <w:trPr>
          <w:cantSplit/>
        </w:trPr>
        <w:tc>
          <w:tcPr>
            <w:tcW w:type="dxa" w:w="19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Data contacts</w:t>
            </w:r>
          </w:p>
        </w:tc>
        <w:tc>
          <w:tcPr>
            <w:tcW w:type="dxa" w:w="37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Electrically isolated Ethernet pogo-pin group</w:t>
            </w:r>
          </w:p>
        </w:tc>
        <w:tc>
          <w:tcPr>
            <w:tcW w:type="dxa" w:w="5040"/>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High-speed wired mission-image, telemetry and status transfer.</w:t>
            </w:r>
          </w:p>
        </w:tc>
      </w:tr>
      <w:tr>
        <w:trPr>
          <w:cantSplit/>
        </w:trPr>
        <w:tc>
          <w:tcPr>
            <w:tcW w:type="dxa" w:w="19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Linear actuator</w:t>
            </w:r>
          </w:p>
        </w:tc>
        <w:tc>
          <w:tcPr>
            <w:tcW w:type="dxa" w:w="37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Vertically actuated pogo-pin mating mechanism</w:t>
            </w:r>
          </w:p>
        </w:tc>
        <w:tc>
          <w:tcPr>
            <w:tcW w:type="dxa" w:w="5040"/>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Engages contacts only after mechanical alignment is confirmed.</w:t>
            </w:r>
          </w:p>
        </w:tc>
      </w:tr>
      <w:tr>
        <w:trPr>
          <w:cantSplit/>
        </w:trPr>
        <w:tc>
          <w:tcPr>
            <w:tcW w:type="dxa" w:w="19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Iris shutter</w:t>
            </w:r>
          </w:p>
        </w:tc>
        <w:tc>
          <w:tcPr>
            <w:tcW w:type="dxa" w:w="37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Automated protective iris with linear-actuator interlock; 8 s close delay after actuator home</w:t>
            </w:r>
          </w:p>
        </w:tc>
        <w:tc>
          <w:tcPr>
            <w:tcW w:type="dxa" w:w="5040"/>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Protects connectors/electronics from dust, debris and rotor downwash.</w:t>
            </w:r>
          </w:p>
        </w:tc>
      </w:tr>
      <w:tr>
        <w:trPr>
          <w:cantSplit/>
        </w:trPr>
        <w:tc>
          <w:tcPr>
            <w:tcW w:type="dxa" w:w="19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High-level controller</w:t>
            </w:r>
          </w:p>
        </w:tc>
        <w:tc>
          <w:tcPr>
            <w:tcW w:type="dxa" w:w="37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Raspberry Pi 5, 16 GB RAM</w:t>
            </w:r>
          </w:p>
        </w:tc>
        <w:tc>
          <w:tcPr>
            <w:tcW w:type="dxa" w:w="5040"/>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Dashboard, file transfer, post-processing and station supervision.</w:t>
            </w:r>
          </w:p>
        </w:tc>
      </w:tr>
      <w:tr>
        <w:trPr>
          <w:cantSplit/>
        </w:trPr>
        <w:tc>
          <w:tcPr>
            <w:tcW w:type="dxa" w:w="19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AI processing</w:t>
            </w:r>
          </w:p>
        </w:tc>
        <w:tc>
          <w:tcPr>
            <w:tcW w:type="dxa" w:w="37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Raspberry Pi AI HAT+ 2 / Hailo-10H, 40 TOPS INT4, 8 GB accelerator memory</w:t>
            </w:r>
          </w:p>
        </w:tc>
        <w:tc>
          <w:tcPr>
            <w:tcW w:type="dxa" w:w="5040"/>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Local visual verification and target-analysis acceleration.</w:t>
            </w:r>
          </w:p>
        </w:tc>
      </w:tr>
      <w:tr>
        <w:trPr>
          <w:cantSplit/>
        </w:trPr>
        <w:tc>
          <w:tcPr>
            <w:tcW w:type="dxa" w:w="19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Real-time controller</w:t>
            </w:r>
          </w:p>
        </w:tc>
        <w:tc>
          <w:tcPr>
            <w:tcW w:type="dxa" w:w="37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Teensy 4.1</w:t>
            </w:r>
          </w:p>
        </w:tc>
        <w:tc>
          <w:tcPr>
            <w:tcW w:type="dxa" w:w="5040"/>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Stepper pulses, limit-switch input, relay control and deterministic sequencing.</w:t>
            </w:r>
          </w:p>
        </w:tc>
      </w:tr>
      <w:tr>
        <w:trPr>
          <w:cantSplit/>
        </w:trPr>
        <w:tc>
          <w:tcPr>
            <w:tcW w:type="dxa" w:w="19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Motor drivers</w:t>
            </w:r>
          </w:p>
        </w:tc>
        <w:tc>
          <w:tcPr>
            <w:tcW w:type="dxa" w:w="37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4 x TB6600 microstep drivers</w:t>
            </w:r>
          </w:p>
        </w:tc>
        <w:tc>
          <w:tcPr>
            <w:tcW w:type="dxa" w:w="5040"/>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Independent control of the four centering axes.</w:t>
            </w:r>
          </w:p>
        </w:tc>
      </w:tr>
      <w:tr>
        <w:trPr>
          <w:cantSplit/>
        </w:trPr>
        <w:tc>
          <w:tcPr>
            <w:tcW w:type="dxa" w:w="19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Display</w:t>
            </w:r>
          </w:p>
        </w:tc>
        <w:tc>
          <w:tcPr>
            <w:tcW w:type="dxa" w:w="37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7 in IPS capacitive touchscreen, 1024 x 600, HDMI</w:t>
            </w:r>
          </w:p>
        </w:tc>
        <w:tc>
          <w:tcPr>
            <w:tcW w:type="dxa" w:w="5040"/>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Local mission status, images, detections and map visualization.</w:t>
            </w:r>
          </w:p>
        </w:tc>
      </w:tr>
      <w:tr>
        <w:trPr>
          <w:cantSplit/>
        </w:trPr>
        <w:tc>
          <w:tcPr>
            <w:tcW w:type="dxa" w:w="19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Charging architecture</w:t>
            </w:r>
          </w:p>
        </w:tc>
        <w:tc>
          <w:tcPr>
            <w:tcW w:type="dxa" w:w="37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4S BMS-based balanced charging with heavy-duty relay; default relay state OFF</w:t>
            </w:r>
          </w:p>
        </w:tc>
        <w:tc>
          <w:tcPr>
            <w:tcW w:type="dxa" w:w="5040"/>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Power is enabled only after alignment/contact verification.</w:t>
            </w:r>
          </w:p>
        </w:tc>
      </w:tr>
      <w:tr>
        <w:trPr>
          <w:cantSplit/>
        </w:trPr>
        <w:tc>
          <w:tcPr>
            <w:tcW w:type="dxa" w:w="19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Charging evidence</w:t>
            </w:r>
          </w:p>
        </w:tc>
        <w:tc>
          <w:tcPr>
            <w:tcW w:type="dxa" w:w="37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Dock logs show battery-side rise from about 12.62 V to 14.08 V during testing</w:t>
            </w:r>
          </w:p>
        </w:tc>
        <w:tc>
          <w:tcPr>
            <w:tcW w:type="dxa" w:w="5040"/>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Confirms power transfer and charging progression through pogo pins.</w:t>
            </w:r>
          </w:p>
        </w:tc>
      </w:tr>
      <w:tr>
        <w:trPr>
          <w:cantSplit/>
        </w:trPr>
        <w:tc>
          <w:tcPr>
            <w:tcW w:type="dxa" w:w="19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Data processing</w:t>
            </w:r>
          </w:p>
        </w:tc>
        <w:tc>
          <w:tcPr>
            <w:tcW w:type="dxa" w:w="37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HD data reception, LR conversion, target matching, coordinate log and analyzed-target archive</w:t>
            </w:r>
          </w:p>
        </w:tc>
        <w:tc>
          <w:tcPr>
            <w:tcW w:type="dxa" w:w="5040"/>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Creates auditable post-flight results while preserving original HD evidence.</w:t>
            </w:r>
          </w:p>
        </w:tc>
      </w:tr>
      <w:tr>
        <w:trPr>
          <w:cantSplit/>
        </w:trPr>
        <w:tc>
          <w:tcPr>
            <w:tcW w:type="dxa" w:w="19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Control modes</w:t>
            </w:r>
          </w:p>
        </w:tc>
        <w:tc>
          <w:tcPr>
            <w:tcW w:type="dxa" w:w="37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FULL AUTO; SKIP ETH; SKIP CHG; MECH ONLY</w:t>
            </w:r>
          </w:p>
        </w:tc>
        <w:tc>
          <w:tcPr>
            <w:tcW w:type="dxa" w:w="5040"/>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Supports full operation and safe isolated field diagnostics.</w:t>
            </w:r>
          </w:p>
        </w:tc>
      </w:tr>
      <w:tr>
        <w:trPr>
          <w:cantSplit/>
        </w:trPr>
        <w:tc>
          <w:tcPr>
            <w:tcW w:type="dxa" w:w="19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Dashboard outputs</w:t>
            </w:r>
          </w:p>
        </w:tc>
        <w:tc>
          <w:tcPr>
            <w:tcW w:type="dxa" w:w="3744"/>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Original/annotated images, target labels, coordinate records, stitched arena map and system status</w:t>
            </w:r>
          </w:p>
        </w:tc>
        <w:tc>
          <w:tcPr>
            <w:tcW w:type="dxa" w:w="5040"/>
            <w:shd w:fill="FFFFFF"/>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Centralized post-flight engineering HUD.</w:t>
            </w:r>
          </w:p>
        </w:tc>
      </w:tr>
      <w:tr>
        <w:trPr>
          <w:cantSplit/>
        </w:trPr>
        <w:tc>
          <w:tcPr>
            <w:tcW w:type="dxa" w:w="19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color w:val="17365D"/>
                <w:sz w:val="14"/>
              </w:rPr>
              <w:t>Safety provisions</w:t>
            </w:r>
          </w:p>
        </w:tc>
        <w:tc>
          <w:tcPr>
            <w:tcW w:type="dxa" w:w="3744"/>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Limit switches, safe-off relay, BMS, contact confirmation, actuator timeout/interlock and mechanical lock nuts</w:t>
            </w:r>
          </w:p>
        </w:tc>
        <w:tc>
          <w:tcPr>
            <w:tcW w:type="dxa" w:w="5040"/>
            <w:shd w:fill="F7F9FC"/>
            <w:tcMar>
              <w:top w:w="32" w:type="dxa"/>
              <w:start w:w="55" w:type="dxa"/>
              <w:bottom w:w="32" w:type="dxa"/>
              <w:end w:w="55" w:type="dxa"/>
            </w:tcMar>
            <w:tcBorders>
              <w:top w:val="single" w:sz="3" w:color="BFC8D4"/>
              <w:left w:val="single" w:sz="3" w:color="BFC8D4"/>
              <w:bottom w:val="single" w:sz="3" w:color="BFC8D4"/>
              <w:right w:val="single" w:sz="3" w:color="BFC8D4"/>
            </w:tcBorders>
            <w:vAlign w:val="center"/>
          </w:tcPr>
          <w:p>
            <w:pPr>
              <w:spacing w:before="0" w:after="0" w:line="228" w:lineRule="auto"/>
              <w:jc w:val="left"/>
            </w:pPr>
            <w:r>
              <w:rPr>
                <w:rFonts w:ascii="Arial" w:hAnsi="Arial" w:eastAsia="Arial"/>
                <w:b w:val="0"/>
                <w:color w:val="1F2937"/>
                <w:sz w:val="14"/>
              </w:rPr>
              <w:t>Prevents over-travel, accidental energization and unreliable docking.</w:t>
            </w:r>
          </w:p>
        </w:tc>
      </w:tr>
    </w:tbl>
    <w:p>
      <w:pPr>
        <w:spacing w:before="60" w:after="20"/>
      </w:pPr>
      <w:r>
        <w:rPr>
          <w:rFonts w:ascii="Arial" w:hAnsi="Arial" w:eastAsia="Arial"/>
          <w:b/>
          <w:color w:val="17365D"/>
          <w:sz w:val="19"/>
        </w:rPr>
        <w:t>3. Automated Operating Sequence</w:t>
      </w:r>
    </w:p>
    <w:tbl>
      <w:tblPr>
        <w:tblW w:type="auto" w:w="0"/>
        <w:jc w:val="center"/>
        <w:tblLayout w:type="fixed"/>
        <w:tblLook w:firstColumn="1" w:firstRow="1" w:lastColumn="0" w:lastRow="0" w:noHBand="0" w:noVBand="1" w:val="04A0"/>
      </w:tblPr>
      <w:tblGrid>
        <w:gridCol w:w="1345"/>
        <w:gridCol w:w="1345"/>
        <w:gridCol w:w="1345"/>
        <w:gridCol w:w="1345"/>
        <w:gridCol w:w="1345"/>
        <w:gridCol w:w="1345"/>
        <w:gridCol w:w="1345"/>
        <w:gridCol w:w="1345"/>
      </w:tblGrid>
      <w:tr>
        <w:tc>
          <w:tcPr>
            <w:tcW w:type="dxa" w:w="1341"/>
            <w:shd w:fill="EAF1F8"/>
            <w:tcMar>
              <w:top w:w="55" w:type="dxa"/>
              <w:start w:w="45" w:type="dxa"/>
              <w:bottom w:w="55" w:type="dxa"/>
              <w:end w:w="45" w:type="dxa"/>
            </w:tcMar>
            <w:tcBorders>
              <w:top w:val="single" w:sz="4" w:color="8FAADC"/>
              <w:left w:val="single" w:sz="4" w:color="8FAADC"/>
              <w:bottom w:val="single" w:sz="4" w:color="8FAADC"/>
              <w:right w:val="single" w:sz="4" w:color="8FAADC"/>
            </w:tcBorders>
          </w:tcPr>
          <w:p>
            <w:pPr>
              <w:spacing w:after="20"/>
              <w:jc w:val="center"/>
            </w:pPr>
            <w:r>
              <w:rPr>
                <w:rFonts w:ascii="Arial" w:hAnsi="Arial" w:eastAsia="Arial"/>
                <w:b/>
                <w:color w:val="17365D"/>
                <w:sz w:val="14"/>
              </w:rPr>
              <w:t>1. LAND</w:t>
            </w:r>
          </w:p>
          <w:p>
            <w:pPr>
              <w:spacing w:before="0" w:after="0" w:line="216" w:lineRule="auto"/>
              <w:jc w:val="center"/>
            </w:pPr>
            <w:r>
              <w:rPr>
                <w:rFonts w:ascii="Arial" w:hAnsi="Arial" w:eastAsia="Arial"/>
                <w:color w:val="1F2937"/>
                <w:sz w:val="13"/>
              </w:rPr>
              <w:t>Drone returns and confirms touchdown</w:t>
            </w:r>
          </w:p>
        </w:tc>
        <w:tc>
          <w:tcPr>
            <w:tcW w:type="dxa" w:w="1341"/>
            <w:shd w:fill="F7F9FC"/>
            <w:tcMar>
              <w:top w:w="55" w:type="dxa"/>
              <w:start w:w="45" w:type="dxa"/>
              <w:bottom w:w="55" w:type="dxa"/>
              <w:end w:w="45" w:type="dxa"/>
            </w:tcMar>
            <w:tcBorders>
              <w:top w:val="single" w:sz="4" w:color="8FAADC"/>
              <w:left w:val="single" w:sz="4" w:color="8FAADC"/>
              <w:bottom w:val="single" w:sz="4" w:color="8FAADC"/>
              <w:right w:val="single" w:sz="4" w:color="8FAADC"/>
            </w:tcBorders>
          </w:tcPr>
          <w:p>
            <w:pPr>
              <w:spacing w:after="20"/>
              <w:jc w:val="center"/>
            </w:pPr>
            <w:r>
              <w:rPr>
                <w:rFonts w:ascii="Arial" w:hAnsi="Arial" w:eastAsia="Arial"/>
                <w:b/>
                <w:color w:val="17365D"/>
                <w:sz w:val="14"/>
              </w:rPr>
              <w:t>2. CENTER</w:t>
            </w:r>
          </w:p>
          <w:p>
            <w:pPr>
              <w:spacing w:before="0" w:after="0" w:line="216" w:lineRule="auto"/>
              <w:jc w:val="center"/>
            </w:pPr>
            <w:r>
              <w:rPr>
                <w:rFonts w:ascii="Arial" w:hAnsi="Arial" w:eastAsia="Arial"/>
                <w:color w:val="1F2937"/>
                <w:sz w:val="13"/>
              </w:rPr>
              <w:t>Four axes align the drone</w:t>
            </w:r>
          </w:p>
        </w:tc>
        <w:tc>
          <w:tcPr>
            <w:tcW w:type="dxa" w:w="1341"/>
            <w:shd w:fill="EAF1F8"/>
            <w:tcMar>
              <w:top w:w="55" w:type="dxa"/>
              <w:start w:w="45" w:type="dxa"/>
              <w:bottom w:w="55" w:type="dxa"/>
              <w:end w:w="45" w:type="dxa"/>
            </w:tcMar>
            <w:tcBorders>
              <w:top w:val="single" w:sz="4" w:color="8FAADC"/>
              <w:left w:val="single" w:sz="4" w:color="8FAADC"/>
              <w:bottom w:val="single" w:sz="4" w:color="8FAADC"/>
              <w:right w:val="single" w:sz="4" w:color="8FAADC"/>
            </w:tcBorders>
          </w:tcPr>
          <w:p>
            <w:pPr>
              <w:spacing w:after="20"/>
              <w:jc w:val="center"/>
            </w:pPr>
            <w:r>
              <w:rPr>
                <w:rFonts w:ascii="Arial" w:hAnsi="Arial" w:eastAsia="Arial"/>
                <w:b/>
                <w:color w:val="17365D"/>
                <w:sz w:val="14"/>
              </w:rPr>
              <w:t>3. OPEN</w:t>
            </w:r>
          </w:p>
          <w:p>
            <w:pPr>
              <w:spacing w:before="0" w:after="0" w:line="216" w:lineRule="auto"/>
              <w:jc w:val="center"/>
            </w:pPr>
            <w:r>
              <w:rPr>
                <w:rFonts w:ascii="Arial" w:hAnsi="Arial" w:eastAsia="Arial"/>
                <w:color w:val="1F2937"/>
                <w:sz w:val="13"/>
              </w:rPr>
              <w:t>Iris / actuator expose dock</w:t>
            </w:r>
          </w:p>
        </w:tc>
        <w:tc>
          <w:tcPr>
            <w:tcW w:type="dxa" w:w="1341"/>
            <w:shd w:fill="F7F9FC"/>
            <w:tcMar>
              <w:top w:w="55" w:type="dxa"/>
              <w:start w:w="45" w:type="dxa"/>
              <w:bottom w:w="55" w:type="dxa"/>
              <w:end w:w="45" w:type="dxa"/>
            </w:tcMar>
            <w:tcBorders>
              <w:top w:val="single" w:sz="4" w:color="8FAADC"/>
              <w:left w:val="single" w:sz="4" w:color="8FAADC"/>
              <w:bottom w:val="single" w:sz="4" w:color="8FAADC"/>
              <w:right w:val="single" w:sz="4" w:color="8FAADC"/>
            </w:tcBorders>
          </w:tcPr>
          <w:p>
            <w:pPr>
              <w:spacing w:after="20"/>
              <w:jc w:val="center"/>
            </w:pPr>
            <w:r>
              <w:rPr>
                <w:rFonts w:ascii="Arial" w:hAnsi="Arial" w:eastAsia="Arial"/>
                <w:b/>
                <w:color w:val="17365D"/>
                <w:sz w:val="14"/>
              </w:rPr>
              <w:t>4. MATE</w:t>
            </w:r>
          </w:p>
          <w:p>
            <w:pPr>
              <w:spacing w:before="0" w:after="0" w:line="216" w:lineRule="auto"/>
              <w:jc w:val="center"/>
            </w:pPr>
            <w:r>
              <w:rPr>
                <w:rFonts w:ascii="Arial" w:hAnsi="Arial" w:eastAsia="Arial"/>
                <w:color w:val="1F2937"/>
                <w:sz w:val="13"/>
              </w:rPr>
              <w:t>Pogo pins establish contact</w:t>
            </w:r>
          </w:p>
        </w:tc>
        <w:tc>
          <w:tcPr>
            <w:tcW w:type="dxa" w:w="1341"/>
            <w:shd w:fill="EAF1F8"/>
            <w:tcMar>
              <w:top w:w="55" w:type="dxa"/>
              <w:start w:w="45" w:type="dxa"/>
              <w:bottom w:w="55" w:type="dxa"/>
              <w:end w:w="45" w:type="dxa"/>
            </w:tcMar>
            <w:tcBorders>
              <w:top w:val="single" w:sz="4" w:color="8FAADC"/>
              <w:left w:val="single" w:sz="4" w:color="8FAADC"/>
              <w:bottom w:val="single" w:sz="4" w:color="8FAADC"/>
              <w:right w:val="single" w:sz="4" w:color="8FAADC"/>
            </w:tcBorders>
          </w:tcPr>
          <w:p>
            <w:pPr>
              <w:spacing w:after="20"/>
              <w:jc w:val="center"/>
            </w:pPr>
            <w:r>
              <w:rPr>
                <w:rFonts w:ascii="Arial" w:hAnsi="Arial" w:eastAsia="Arial"/>
                <w:b/>
                <w:color w:val="17365D"/>
                <w:sz w:val="14"/>
              </w:rPr>
              <w:t>5. LINK</w:t>
            </w:r>
          </w:p>
          <w:p>
            <w:pPr>
              <w:spacing w:before="0" w:after="0" w:line="216" w:lineRule="auto"/>
              <w:jc w:val="center"/>
            </w:pPr>
            <w:r>
              <w:rPr>
                <w:rFonts w:ascii="Arial" w:hAnsi="Arial" w:eastAsia="Arial"/>
                <w:color w:val="1F2937"/>
                <w:sz w:val="13"/>
              </w:rPr>
              <w:t>Ethernet connection is verified</w:t>
            </w:r>
          </w:p>
        </w:tc>
        <w:tc>
          <w:tcPr>
            <w:tcW w:type="dxa" w:w="1341"/>
            <w:shd w:fill="F7F9FC"/>
            <w:tcMar>
              <w:top w:w="55" w:type="dxa"/>
              <w:start w:w="45" w:type="dxa"/>
              <w:bottom w:w="55" w:type="dxa"/>
              <w:end w:w="45" w:type="dxa"/>
            </w:tcMar>
            <w:tcBorders>
              <w:top w:val="single" w:sz="4" w:color="8FAADC"/>
              <w:left w:val="single" w:sz="4" w:color="8FAADC"/>
              <w:bottom w:val="single" w:sz="4" w:color="8FAADC"/>
              <w:right w:val="single" w:sz="4" w:color="8FAADC"/>
            </w:tcBorders>
          </w:tcPr>
          <w:p>
            <w:pPr>
              <w:spacing w:after="20"/>
              <w:jc w:val="center"/>
            </w:pPr>
            <w:r>
              <w:rPr>
                <w:rFonts w:ascii="Arial" w:hAnsi="Arial" w:eastAsia="Arial"/>
                <w:b/>
                <w:color w:val="17365D"/>
                <w:sz w:val="14"/>
              </w:rPr>
              <w:t>6. PROCESS</w:t>
            </w:r>
          </w:p>
          <w:p>
            <w:pPr>
              <w:spacing w:before="0" w:after="0" w:line="216" w:lineRule="auto"/>
              <w:jc w:val="center"/>
            </w:pPr>
            <w:r>
              <w:rPr>
                <w:rFonts w:ascii="Arial" w:hAnsi="Arial" w:eastAsia="Arial"/>
                <w:color w:val="1F2937"/>
                <w:sz w:val="13"/>
              </w:rPr>
              <w:t>Images and logs are transferred</w:t>
            </w:r>
          </w:p>
        </w:tc>
        <w:tc>
          <w:tcPr>
            <w:tcW w:type="dxa" w:w="1341"/>
            <w:shd w:fill="EAF1F8"/>
            <w:tcMar>
              <w:top w:w="55" w:type="dxa"/>
              <w:start w:w="45" w:type="dxa"/>
              <w:bottom w:w="55" w:type="dxa"/>
              <w:end w:w="45" w:type="dxa"/>
            </w:tcMar>
            <w:tcBorders>
              <w:top w:val="single" w:sz="4" w:color="8FAADC"/>
              <w:left w:val="single" w:sz="4" w:color="8FAADC"/>
              <w:bottom w:val="single" w:sz="4" w:color="8FAADC"/>
              <w:right w:val="single" w:sz="4" w:color="8FAADC"/>
            </w:tcBorders>
          </w:tcPr>
          <w:p>
            <w:pPr>
              <w:spacing w:after="20"/>
              <w:jc w:val="center"/>
            </w:pPr>
            <w:r>
              <w:rPr>
                <w:rFonts w:ascii="Arial" w:hAnsi="Arial" w:eastAsia="Arial"/>
                <w:b/>
                <w:color w:val="17365D"/>
                <w:sz w:val="14"/>
              </w:rPr>
              <w:t>7. CHARGE</w:t>
            </w:r>
          </w:p>
          <w:p>
            <w:pPr>
              <w:spacing w:before="0" w:after="0" w:line="216" w:lineRule="auto"/>
              <w:jc w:val="center"/>
            </w:pPr>
            <w:r>
              <w:rPr>
                <w:rFonts w:ascii="Arial" w:hAnsi="Arial" w:eastAsia="Arial"/>
                <w:color w:val="1F2937"/>
                <w:sz w:val="13"/>
              </w:rPr>
              <w:t>Relay enables BMS charging</w:t>
            </w:r>
          </w:p>
        </w:tc>
        <w:tc>
          <w:tcPr>
            <w:tcW w:type="dxa" w:w="1341"/>
            <w:shd w:fill="F7F9FC"/>
            <w:tcMar>
              <w:top w:w="55" w:type="dxa"/>
              <w:start w:w="45" w:type="dxa"/>
              <w:bottom w:w="55" w:type="dxa"/>
              <w:end w:w="45" w:type="dxa"/>
            </w:tcMar>
            <w:tcBorders>
              <w:top w:val="single" w:sz="4" w:color="8FAADC"/>
              <w:left w:val="single" w:sz="4" w:color="8FAADC"/>
              <w:bottom w:val="single" w:sz="4" w:color="8FAADC"/>
              <w:right w:val="single" w:sz="4" w:color="8FAADC"/>
            </w:tcBorders>
          </w:tcPr>
          <w:p>
            <w:pPr>
              <w:spacing w:after="20"/>
              <w:jc w:val="center"/>
            </w:pPr>
            <w:r>
              <w:rPr>
                <w:rFonts w:ascii="Arial" w:hAnsi="Arial" w:eastAsia="Arial"/>
                <w:b/>
                <w:color w:val="17365D"/>
                <w:sz w:val="14"/>
              </w:rPr>
              <w:t>8. RESET</w:t>
            </w:r>
          </w:p>
          <w:p>
            <w:pPr>
              <w:spacing w:before="0" w:after="0" w:line="216" w:lineRule="auto"/>
              <w:jc w:val="center"/>
            </w:pPr>
            <w:r>
              <w:rPr>
                <w:rFonts w:ascii="Arial" w:hAnsi="Arial" w:eastAsia="Arial"/>
                <w:color w:val="1F2937"/>
                <w:sz w:val="13"/>
              </w:rPr>
              <w:t>Actuator retracts and iris closes</w:t>
            </w:r>
          </w:p>
        </w:tc>
      </w:tr>
    </w:tbl>
    <w:sectPr w:rsidR="00FC693F" w:rsidRPr="0006063C" w:rsidSect="00034616">
      <w:headerReference w:type="default" r:id="rId9"/>
      <w:footerReference w:type="default" r:id="rId10"/>
      <w:pgSz w:w="11909" w:h="16834"/>
      <w:pgMar w:top="504" w:right="576" w:bottom="504" w:left="576" w:header="230"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B7280"/>
        <w:sz w:val="13"/>
      </w:rPr>
      <w:t>IIC SIT - Sinhgad Institute of Technology, Lonavala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B7280"/>
        <w:sz w:val="13"/>
      </w:rPr>
      <w:t>IRoC-U 2026 | Team 10144 | Final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eastAsia="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Drone and Base Station Specifications - Team 10144</dc:title>
  <dc:subject>IRoC-U 2026 final active configuration</dc:subject>
  <dc:creator>Team IIC SIT</dc:creator>
  <cp:keywords>IRoC-U 2026, Team 10144, drone, base station,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