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/>
        <w:t xml:space="preserve">Electricity pricing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/>
              <w:t xml:space="preserve">Consumer simulator and price selector</w:t>
              <w:br/>
              <w:t xml:space="preserve">Implementation and validation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/>
              <w:t xml:space="preserve">Research checkpoint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/>
              <w:t xml:space="preserve">27 October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Contents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and conditions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Patterns in the evidence</w:t>
              <w:tab/>
              <w:t xml:space="preserve">6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8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9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9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10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  <w:tab/>
              <w:t xml:space="preserve">10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records</w:t>
              <w:tab/>
              <w:t xml:space="preserve">11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/>
        <w:t xml:space="preserve">Executive summary</w:t>
      </w:r>
    </w:p>
    <w:p w14:paraId="000003E9">
      <w:pPr>
        <w:rPr/>
      </w:pPr>
      <w:r>
        <w:rPr>
          <w:rtl w:val="0"/>
        </w:rPr>
        <w:t xml:space="preserve">We implemented a closed-loop electricity-pricing simulator for </w:t>
      </w:r>
      <w:r>
        <w:rPr>
          <w:rtl w:val="0"/>
          <w:b w:val="1"/>
          <w:bCs w:val="1"/>
        </w:rPr>
        <w:t xml:space="preserve">717 Norwegian spot-contract households</w:t>
      </w:r>
      <w:r>
        <w:rPr>
          <w:rtl w:val="0"/>
        </w:rPr>
        <w:t xml:space="preserve">. A frozen Transformer ensemble predicts household consumption, and a Deep Q-Network (DQN) selects a shared hourly price for 48 hours. Among the three upgraded-simulator fits, the best validation policy, DQN seed 2026, reduced the combined cost by </w:t>
      </w:r>
      <w:r>
        <w:rPr>
          <w:rtl w:val="0"/>
          <w:b w:val="1"/>
          <w:bCs w:val="1"/>
        </w:rPr>
        <w:t xml:space="preserve">3.60% versus market tracking</w:t>
      </w:r>
      <w:r>
        <w:rPr>
          <w:rtl w:val="0"/>
        </w:rPr>
        <w:t xml:space="preserve"> and </w:t>
      </w:r>
      <w:r>
        <w:rPr>
          <w:rtl w:val="0"/>
          <w:b w:val="1"/>
          <w:bCs w:val="1"/>
        </w:rPr>
        <w:t xml:space="preserve">5.38% versus the validation-selected constant policy</w:t>
      </w:r>
      <w:r>
        <w:rPr>
          <w:rtl w:val="0"/>
        </w:rPr>
        <w:t xml:space="preserve">. [1, 2]</w:t>
      </w:r>
    </w:p>
    <w:p w14:paraId="000003EA">
      <w:pPr>
        <w:rPr/>
      </w:pPr>
      <w:r>
        <w:rPr>
          <w:rtl w:val="0"/>
        </w:rPr>
        <w:t xml:space="preserve">Its pricing varied meaningfully: </w:t>
      </w:r>
      <w:r>
        <w:rPr>
          <w:rtl w:val="0"/>
          <w:b w:val="1"/>
          <w:bCs w:val="1"/>
        </w:rPr>
        <w:t xml:space="preserve">9.68 changes per 48-hour episode</w:t>
      </w:r>
      <w:r>
        <w:rPr>
          <w:rtl w:val="0"/>
        </w:rPr>
        <w:t xml:space="preserve">, with a mean absolute hourly change of </w:t>
      </w:r>
      <w:r>
        <w:rPr>
          <w:rtl w:val="0"/>
          <w:b w:val="1"/>
          <w:bCs w:val="1"/>
        </w:rPr>
        <w:t xml:space="preserve">0.163 NOK/kWh</w:t>
      </w:r>
      <w:r>
        <w:rPr>
          <w:rtl w:val="0"/>
        </w:rPr>
        <w:t xml:space="preserve">. Relative to market tracking, it produced </w:t>
      </w:r>
      <w:r>
        <w:rPr>
          <w:rtl w:val="0"/>
          <w:b w:val="1"/>
          <w:bCs w:val="1"/>
        </w:rPr>
        <w:t xml:space="preserve">2.25% fewer overload region-hours</w:t>
      </w:r>
      <w:r>
        <w:rPr>
          <w:rtl w:val="0"/>
        </w:rPr>
        <w:t xml:space="preserve"> and </w:t>
      </w:r>
      <w:r>
        <w:rPr>
          <w:rtl w:val="0"/>
          <w:b w:val="1"/>
          <w:bCs w:val="1"/>
        </w:rPr>
        <w:t xml:space="preserve">5.88% less accumulated overload</w:t>
      </w:r>
      <w:r>
        <w:rPr>
          <w:rtl w:val="0"/>
        </w:rPr>
        <w:t xml:space="preserve">. The benefit was modest and did not eliminate overload under severe scarcity.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/>
        <w:t xml:space="preserve">At a glance</w:t>
      </w:r>
    </w:p>
    <w:p w14:paraId="000003E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Consumer model: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configuration C, two frozen Transformers using 24-hour histories, with response seeds 42 and 7; their household predictions are averaged before feedback.</w:t>
      </w:r>
    </w:p>
    <w:p w14:paraId="000003E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Price selector: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standard SB3 DQN with policy seed 2026; a 20,857-feature observation feeds 256 and 128 ReLU units and 21 price actions.</w:t>
      </w:r>
    </w:p>
    <w:p w14:paraId="000003E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Evidence: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 January origins multiplied by three capacity scenarios, giving 87 overlapping 48-hour validation cases. Final retrospective follow-up evaluation is still running at this report snapshot.</w:t>
      </w:r>
    </w:p>
    <w:bookmarkStart w:colFirst="0" w:colLast="0" w:name="bookmark=id.4t4jj91ycfx" w:id="3"/>
    <w:bookmarkEnd w:id="3"/>
    <w:p w14:paraId="0000001E">
      <w:pPr>
        <w:pStyle w:val="Heading2"/>
        <w:rPr/>
        <w:spacing w:before="160"/>
      </w:pPr>
      <w:r>
        <w:rPr/>
        <w:t xml:space="preserve">Introduction</w:t>
      </w:r>
    </w:p>
    <w:p w14:paraId="000003EE">
      <w:pPr>
        <w:rPr/>
      </w:pPr>
      <w:r>
        <w:rPr>
          <w:rtl w:val="0"/>
        </w:rPr>
        <w:t xml:space="preserve">The research question is whether a learned, varying price schedule can reduce constructed regional demand stress while limiting household energy and charge impacts. NO1 and NO5 are separate capacity pools; all households receive one common selected price. Current pricing models consumption only. It includes no allocation, forced consumption floor, deferred-demand queue or recovery rule.</w:t>
      </w:r>
    </w:p>
    <w:p w14:paraId="000003EF">
      <w:pPr>
        <w:rPr/>
      </w:pPr>
      <w:r>
        <w:rPr>
          <w:rtl w:val="0"/>
        </w:rPr>
        <w:t xml:space="preserve">Policy seed 2026 is a descriptive validation winner; seed 42 remains the predeclared representative. The upgraded three-seed mean cost is 0.03253 versus market’s 0.03248, or 0.16% higher. Reliable improvement across seeds and reserved dynamics remains unestablished.</w:t>
      </w:r>
      <w:r>
        <w:rPr>
          <w:rtl w:val="0"/>
          <w:b w:val="1"/>
          <w:bCs w:val="1"/>
        </w:rPr>
        <w:t xml:space="preserve"/>
      </w:r>
      <w:r>
        <w:rPr>
          <w:rtl w:val="0"/>
        </w:rPr>
        <w:t xml:space="preserve"/>
      </w:r>
      <w:r>
        <w:rPr>
          <w:rtl w:val="0"/>
          <w:b w:val="1"/>
          <w:bCs w:val="1"/>
        </w:rPr>
        <w:t xml:space="preserve"/>
      </w:r>
      <w:r>
        <w:rPr>
          <w:rtl w:val="0"/>
        </w:rPr>
        <w:t xml:space="preserve"/>
      </w:r>
      <w:r>
        <w:rPr>
          <w:rtl w:val="0"/>
          <w:b w:val="1"/>
          <w:bCs w:val="1"/>
        </w:rPr>
        <w:t xml:space="preserve"/>
      </w:r>
      <w:r>
        <w:rPr>
          <w:rtl w:val="0"/>
        </w:rPr>
        <w:t xml:space="preserve"/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/>
        <w:t xml:space="preserve">Key findings</w:t>
      </w:r>
    </w:p>
    <w:p w14:paraId="000003F0">
      <w:pPr>
        <w:rPr/>
      </w:pPr>
      <w:r>
        <w:rPr>
          <w:rtl w:val="0"/>
        </w:rPr>
        <w:t xml:space="preserve">The implementation separates data preparation, consumer prediction, pricing, scoring and observation-only telemetry. All policies below use the same upgraded consumer ensemble and the same reward definitions. This makes the policy comparison consistent within that simulator. [1–5]</w:t>
      </w:r>
    </w:p>
    <w:p w14:paraId="00000023">
      <w:pPr>
        <w:pStyle w:val="Heading2"/>
        <w:rPr/>
      </w:pPr>
      <w:r>
        <w:rPr/>
        <w:t xml:space="preserve">Context and conditions</w:t>
      </w:r>
    </w:p>
    <w:p w14:paraId="000003F1">
      <w:pPr>
        <w:rPr/>
        <w:keepNext w:val="1"/>
      </w:pPr>
      <w:r>
        <w:rPr>
          <w:rtl w:val="0"/>
          <w:b w:val="1"/>
          <w:bCs w:val="1"/>
        </w:rPr>
        <w:t xml:space="preserve">The consumer model used by the winning policy</w:t>
      </w:r>
    </w:p>
    <w:p w14:paraId="000003F2">
      <w:pPr>
        <w:rPr/>
      </w:pPr>
      <w:r>
        <w:rPr>
          <w:rtl w:val="0"/>
        </w:rPr>
        <w:t xml:space="preserve">Configuration C pretrains general consumption on all 1,136 households with prices disabled, then fine-tunes price-aware forecasts on the 717 spot-contract households. Both frozen ensemble members use the architecture below. Reserved consumer seed 2026 is distinct from the winning DQN policy seed 2026. [3, 4]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00"/>
        <w:gridCol w:w="6620"/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Component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Exact implementation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Historical input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 hours × 12 features per household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Input projection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Linear 12 → 64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Temporal encoder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Transformer encoder layers; width 64; 4 attention heads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Feed-forward block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Width 128; GELU; dropout 0.10 during training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Position and pooling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Fixed sinusoidal positions; final historical token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Prediction head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131 → 64 → 1; SiLU then Softplus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 context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64 encoded features + 59 static features + price + price change + 6 target-calendar features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 nonnegative next-hour household kWh prediction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Parameters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76,289 per consumer model; two frozen members</w:t>
            </w:r>
          </w:p>
        </w:tc>
      </w:tr>
    </w:tbl>
    <w:p w14:paraId="00000413">
      <w:pPr>
        <w:rPr/>
      </w:pPr>
      <w:r>
        <w:rPr>
          <w:rtl w:val="0"/>
        </w:rPr>
        <w:t xml:space="preserve">History contains demand, price, temperature, two hour channels, weekday/annual sine and cosine, log demand, price change and its availability flag. Hour encoding is (1 − cos θ)/2 and (1 + sin θ)/2. Static features encode region, dwelling, heating, water heating, EV ownership and unknown categories.</w:t>
      </w:r>
    </w:p>
    <w:p w14:paraId="00000414">
      <w:pPr>
        <w:rPr/>
      </w:pPr>
      <w:r>
        <w:rPr>
          <w:rtl w:val="0"/>
        </w:rPr>
        <w:t xml:space="preserve">Both models see the same histories and price. Average each household’s predictions before advancing the shared history; persist origin temperature. Saved demand scales and price/temperature statistics are fitted on training data only. [3, 4]</w:t>
      </w:r>
    </w:p>
    <w:p w14:paraId="00000415">
      <w:pPr>
        <w:rPr/>
        <w:pageBreakBefore w:val="1"/>
        <w:keepNext w:val="1"/>
      </w:pPr>
      <w:r>
        <w:rPr>
          <w:rtl w:val="0"/>
          <w:b w:val="1"/>
          <w:bCs w:val="1"/>
        </w:rPr>
        <w:t xml:space="preserve">The price selector and training protocol</w:t>
      </w:r>
    </w:p>
    <w:p w14:paraId="00000416">
      <w:pPr>
        <w:rPr/>
      </w:pPr>
      <w:r>
        <w:rPr>
          <w:rtl w:val="0"/>
        </w:rPr>
        <w:t xml:space="preserve">The best observed policy is </w:t>
      </w:r>
      <w:r>
        <w:rPr>
          <w:rtl w:val="0"/>
          <w:b w:val="1"/>
          <w:bCs w:val="1"/>
        </w:rPr>
        <w:t xml:space="preserve">new_seed2026/best.zip</w:t>
      </w:r>
      <w:r>
        <w:rPr>
          <w:rtl w:val="0"/>
        </w:rPr>
        <w:t xml:space="preserve">, trained against the frozen C-seed-42/C-seed-7 consumer ensemble. It is standard Stable-Baselines3 DQN with MultiInputPolicy. Its feature extractor flattens the observation groups; the price selector itself is an MLP, not a Transformer. [1, 5]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00"/>
        <w:gridCol w:w="6620"/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Setting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 network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20,857 → 256 ReLU → 128 ReLU → 21 Q values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Parameter count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5,375,253 per Q network; target network has the same structure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Actions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0.05, 0.10, 0.20, …, 2.00 NOK/kWh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Episode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 hourly decisions; 24-hour starting histories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Discount and reward scale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Gamma 1; reward scale 100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rate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Linear 0.0001 → 0.00001 over consumed slot time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Replay and warm-up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3,000 CPU transitions; learning starts at decision 2,400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 and updates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Batch 64; one update every 4 decisions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Target and clipping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Target update every 1,000 decisions; gradient norm clipped at 10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Exploration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Epsilon 1 → 0.05 over first 30% of slot time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Execution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macOS GPU via MPS; float32; 4 supporting CPU threads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00" w:type="dxa"/>
          </w:tcPr>
          <w:p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Best checkpoint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6620" w:type="dxa"/>
          </w:tcPr>
          <w:p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128,064 decisions and 31,416 gradient updates</w:t>
            </w:r>
          </w:p>
        </w:tc>
      </w:tr>
    </w:tbl>
    <w:p w14:paraId="0000043D">
      <w:pPr>
        <w:rPr/>
      </w:pPr>
      <w:r>
        <w:rPr>
          <w:rtl w:val="0"/>
        </w:rPr>
        <w:t xml:space="preserve">The observation contains every household’s demand history, regional price/temperature histories, historical calendar, known episode calendar and market-price schedules, a release mask, modeled regional reference schedules, household energy/charge accounts and scenario context. Fixed household order and saved preprocessing are reused. At reset, only day-one market/reference information is visible; day two is released at the second midnight.</w:t>
      </w:r>
    </w:p>
    <w:p w14:paraId="0000043E">
      <w:pPr>
        <w:rPr/>
      </w:pPr>
      <w:r>
        <w:rPr>
          <w:rtl w:val="0"/>
        </w:rPr>
        <w:t xml:space="preserve">Six paired fits used old/new dynamics for seeds 42, 7 and 2026, with 100 minutes allocated per fit. Actual consumed training time was </w:t>
      </w:r>
      <w:r>
        <w:rPr>
          <w:rtl w:val="0"/>
          <w:b w:val="1"/>
          <w:bCs w:val="1"/>
        </w:rPr>
        <w:t xml:space="preserve">9 hours 50 minutes</w:t>
      </w:r>
      <w:r>
        <w:rPr>
          <w:rtl w:val="0"/>
        </w:rPr>
        <w:t xml:space="preserve">, covering </w:t>
      </w:r>
      <w:r>
        <w:rPr>
          <w:rtl w:val="0"/>
          <w:b w:val="1"/>
          <w:bCs w:val="1"/>
        </w:rPr>
        <w:t xml:space="preserve">867,312 decisions</w:t>
      </w:r>
      <w:r>
        <w:rPr>
          <w:rtl w:val="0"/>
        </w:rPr>
        <w:t xml:space="preserve">. Setup and final evaluation have separate timers. Validation checks every 29 origins × three scenarios, and the minimum validation-cost checkpoint is retained. Source, data and weight fingerprints protect checkpoint compatibility.</w:t>
      </w:r>
    </w:p>
    <w:p w14:paraId="0000043F">
      <w:pPr>
        <w:rPr/>
        <w:pageBreakBefore w:val="1"/>
        <w:keepNext w:val="1"/>
      </w:pPr>
      <w:r>
        <w:rPr>
          <w:rtl w:val="0"/>
          <w:b w:val="1"/>
          <w:bCs w:val="1"/>
        </w:rPr>
        <w:t xml:space="preserve">What each baseline means</w:t>
      </w:r>
    </w:p>
    <w:p w14:paraId="0000044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Market tracking.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each hour, take the household-count-weighted mean of recorded NO1/NO5 prices, then round and clip it to the common action grid. This produces one feasible shared price schedule, rather than two regional tariffs.</w:t>
      </w:r>
    </w:p>
    <w:p w14:paraId="0000044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Selected constant.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Enumerate all 21 fixed prices and choose the lowest mean validation-cost price separately for each scarcity scenario. Mild/moderate select 1.20 and severe selects 1.30 NOK/kWh. The chosen price stays unchanged for all 48 hours.</w:t>
      </w:r>
    </w:p>
    <w:p w14:paraId="0000044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Capacity rule.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Preview regional requests at the grid-projected market price. Raise that price by max(z − 1, 0) × 1.95, where z is the larger regional demand/capacity ratio; clip and round to the action grid. This rule is fixed rather than learned.</w:t>
      </w:r>
    </w:p>
    <w:p w14:paraId="0000044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One-hour greedy.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Simulate all 21 actions and choose the best immediate configured reward. It does not plan the complete 48-hour energy/charge outcome. Terminal household penalties enter its decision only at the final hour. In this validation run it chose the minimum throughout.</w:t>
      </w:r>
    </w:p>
    <w:p w14:paraId="0000044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Constant minimum.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Charge 0.05 NOK/kWh for all 48 hours. This diagnostic tests an inexpensive constant schedule.</w:t>
      </w:r>
    </w:p>
    <w:p w14:paraId="000004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Constant maximum.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Charge 2.00 NOK/kWh throughout. This tests the high-price extreme and its household charge trade-off.</w:t>
      </w:r>
    </w:p>
    <w:p w14:paraId="000004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Episode constant oracle.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each complete 48-hour case, enumerate the modeled outcomes of all constant prices and retrospectively select the best one. It is an offline comparator within the constant-price family, not a deployable learned policy.</w:t>
      </w:r>
    </w:p>
    <w:p w14:paraId="00000447">
      <w:pPr>
        <w:rPr/>
        <w:keepNext w:val="1"/>
      </w:pPr>
      <w:r>
        <w:rPr>
          <w:rtl w:val="0"/>
          <w:b w:val="1"/>
          <w:bCs w:val="1"/>
        </w:rPr>
        <w:t xml:space="preserve">Reward and reference</w:t>
      </w:r>
    </w:p>
    <w:p w14:paraId="00000448">
      <w:pPr>
        <w:rPr/>
      </w:pPr>
      <w:r>
        <w:rPr>
          <w:rtl w:val="0"/>
        </w:rPr>
        <w:t xml:space="preserve">A policy-independent reference branch uses recorded regional prices from the same origin and is shared across compared policies. Cost combines state-weighted regional stress, household energy deviation beyond 5% and household charge increase beyond 5%. Grid weights are computed before acting and rise from 1 to 5 as the preceding demand/capacity ratio rises from 80% to 100%. Energy and charge weights remain one; the normalization is fixed at seven. Exact formulas are in the appendix.</w:t>
      </w:r>
    </w:p>
    <w:p w14:paraId="00000449">
      <w:pPr>
        <w:rPr/>
      </w:pPr>
      <w:r>
        <w:rPr>
          <w:rtl w:val="0"/>
        </w:rPr>
        <w:t xml:space="preserve">Grid penalties are charged hourly; household penalties are charged at hour 48. Episode reward equals −100 × total cost exactly. There is no reward for switching, diversity, price jumps or demand flattening. A varying schedule is therefore observed behavior, not a directly rewarded action-count target.</w:t>
      </w:r>
    </w:p>
    <w:p w14:paraId="00000025">
      <w:pPr>
        <w:pStyle w:val="Heading2"/>
        <w:rPr/>
        <w:pageBreakBefore w:val="1"/>
      </w:pPr>
      <w:r>
        <w:rPr/>
        <w:t xml:space="preserve">Patterns in the evidence</w:t>
      </w:r>
    </w:p>
    <w:p w14:paraId="0000044A">
      <w:pPr>
        <w:rPr/>
        <w:keepNext w:val="1"/>
      </w:pPr>
      <w:r>
        <w:rPr>
          <w:rtl w:val="0"/>
          <w:b w:val="1"/>
          <w:bCs w:val="1"/>
        </w:rPr>
        <w:t xml:space="preserve">Price changes across the same validation cases</w:t>
      </w:r>
    </w:p>
    <w:p w14:paraId="0000044B">
      <w:pPr>
        <w:rPr/>
      </w:pPr>
      <w:r>
        <w:rPr>
          <w:rtl w:val="0"/>
        </w:rPr>
        <w:t xml:space="preserve">All monetary prices and price changes below are in NOK/kWh. “Hourly change” is the mean absolute difference across the 47 within-episode transitions, including unchanged hours; it excludes the initial transition from historical regional prices. “Jump on change” averages only transitions where the price actually changed. [1, 2]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00"/>
        <w:gridCol w:w="1450"/>
        <w:gridCol w:w="1600"/>
        <w:gridCol w:w="1700"/>
        <w:gridCol w:w="1770"/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Policy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Mean price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Changes per 48 hours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Hourly change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Jump on change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DQN seed 2026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1.197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9.68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0.163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0.793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Market tracking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1.390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14.17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0.039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0.128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Selected constant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1.233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Capacity rule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1.416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15.94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0.044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0.129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 hour greedy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0.050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Constant minimum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0.050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Constant maximum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2.000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600" w:type="dxa"/>
          </w:tcPr>
          <w:p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Episode constant oracle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50" w:type="dxa"/>
          </w:tcPr>
          <w:p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1.375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00" w:type="dxa"/>
          </w:tcPr>
          <w:p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70" w:type="dxa"/>
          </w:tcPr>
          <w:p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</w:tr>
    </w:tbl>
    <w:p w14:paraId="00000485">
      <w:pPr>
        <w:rPr/>
      </w:pPr>
      <w:r>
        <w:rPr>
          <w:rtl w:val="0"/>
        </w:rPr>
        <w:t xml:space="preserve">The DQN changed price in </w:t>
      </w:r>
      <w:r>
        <w:rPr>
          <w:rtl w:val="0"/>
          <w:b w:val="1"/>
          <w:bCs w:val="1"/>
        </w:rPr>
        <w:t xml:space="preserve">all 87 cases</w:t>
      </w:r>
      <w:r>
        <w:rPr>
          <w:rtl w:val="0"/>
        </w:rPr>
        <w:t xml:space="preserve">, using an average of </w:t>
      </w:r>
      <w:r>
        <w:rPr>
          <w:rtl w:val="0"/>
          <w:b w:val="1"/>
          <w:bCs w:val="1"/>
        </w:rPr>
        <w:t xml:space="preserve">7.82 distinct prices per episode</w:t>
      </w:r>
      <w:r>
        <w:rPr>
          <w:rtl w:val="0"/>
        </w:rPr>
        <w:t xml:space="preserve"> and 16 grid prices overall. Its range spanned </w:t>
      </w:r>
      <w:r>
        <w:rPr>
          <w:rtl w:val="0"/>
          <w:b w:val="1"/>
          <w:bCs w:val="1"/>
        </w:rPr>
        <w:t xml:space="preserve">0.05–2.00 NOK/kWh</w:t>
      </w:r>
      <w:r>
        <w:rPr>
          <w:rtl w:val="0"/>
        </w:rPr>
        <w:t xml:space="preserve">. It switched less frequently than market tracking, but its jumps were larger: </w:t>
      </w:r>
      <w:r>
        <w:rPr>
          <w:rtl w:val="0"/>
          <w:b w:val="1"/>
          <w:bCs w:val="1"/>
        </w:rPr>
        <w:t xml:space="preserve">0.793</w:t>
      </w:r>
      <w:r>
        <w:rPr>
          <w:rtl w:val="0"/>
        </w:rPr>
        <w:t xml:space="preserve"> versus </w:t>
      </w:r>
      <w:r>
        <w:rPr>
          <w:rtl w:val="0"/>
          <w:b w:val="1"/>
          <w:bCs w:val="1"/>
        </w:rPr>
        <w:t xml:space="preserve">0.128 NOK/kWh</w:t>
      </w:r>
      <w:r>
        <w:rPr>
          <w:rtl w:val="0"/>
        </w:rPr>
        <w:t xml:space="preserve"> when a change occurred. The largest DQN jump was </w:t>
      </w:r>
      <w:r>
        <w:rPr>
          <w:rtl w:val="0"/>
          <w:b w:val="1"/>
          <w:bCs w:val="1"/>
        </w:rPr>
        <w:t xml:space="preserve">1.95 NOK/kWh</w:t>
      </w:r>
      <w:r>
        <w:rPr>
          <w:rtl w:val="0"/>
        </w:rPr>
        <w:t xml:space="preserve">.</w:t>
      </w:r>
    </w:p>
    <w:p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0720" cy="1401325"/>
            <wp:effectExtent b="0" l="0" r="0" t="0"/>
            <wp:docPr descr="Validation comparison price changes.png" id="101" name="price_changes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87">
      <w:pPr>
        <w:rPr/>
        <w:spacing w:after="100"/>
      </w:pPr>
      <w:r>
        <w:rPr>
          <w:rtl w:val="0"/>
          <w:sz w:val="18"/>
          <w:szCs w:val="18"/>
        </w:rPr>
        <w:t xml:space="preserve">Figure 1  Price variation of the selected policy and the principal practical baselines. A constant policy has zero within-episode changes.</w:t>
      </w:r>
    </w:p>
    <w:p w14:paraId="00000488">
      <w:pPr>
        <w:rPr/>
        <w:spacing w:before="80"/>
      </w:pPr>
      <w:r>
        <w:rPr>
          <w:rtl w:val="0"/>
        </w:rPr>
        <w:t xml:space="preserve">DQN used a </w:t>
      </w:r>
      <w:r>
        <w:rPr>
          <w:rtl w:val="0"/>
          <w:b w:val="1"/>
          <w:bCs w:val="1"/>
        </w:rPr>
        <w:t xml:space="preserve">13.90% lower mean price</w:t>
      </w:r>
      <w:r>
        <w:rPr>
          <w:rtl w:val="0"/>
        </w:rPr>
        <w:t xml:space="preserve"> and less modeled overload than market tracking. Its benefit did not depend on maximum pricing throughout; switching alone is not established as the cause.</w:t>
      </w:r>
    </w:p>
    <w:p w14:paraId="00000489">
      <w:pPr>
        <w:rPr/>
        <w:pageBreakBefore w:val="1"/>
        <w:keepNext w:val="1"/>
      </w:pPr>
      <w:r>
        <w:rPr>
          <w:rtl w:val="0"/>
          <w:b w:val="1"/>
          <w:bCs w:val="1"/>
        </w:rPr>
        <w:t xml:space="preserve">Grid stress and overall performance</w:t>
      </w:r>
    </w:p>
    <w:p w14:paraId="0000048A">
      <w:pPr>
        <w:rPr/>
      </w:pPr>
      <w:r>
        <w:rPr>
          <w:rtl w:val="0"/>
        </w:rPr>
        <w:t xml:space="preserve">Overload counts each region-hour separately: </w:t>
      </w:r>
      <w:r>
        <w:rPr>
          <w:rtl w:val="0"/>
          <w:b w:val="1"/>
          <w:bCs w:val="1"/>
        </w:rPr>
        <w:t xml:space="preserve">8,352 region-hours</w:t>
      </w:r>
      <w:r>
        <w:rPr>
          <w:rtl w:val="0"/>
        </w:rPr>
        <w:t xml:space="preserve">. Excess kWh is accumulated demand above capacity per case. Mild/moderate/severe limits use measured-training </w:t>
      </w:r>
      <w:r>
        <w:rPr>
          <w:rtl w:val="0"/>
          <w:b w:val="1"/>
          <w:bCs w:val="1"/>
        </w:rPr>
        <w:t xml:space="preserve">95th/90th/75th percentiles</w:t>
      </w:r>
      <w:r>
        <w:rPr>
          <w:rtl w:val="0"/>
        </w:rPr>
        <w:t xml:space="preserve">. Cost includes all three objectives.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50"/>
        <w:gridCol w:w="1350"/>
        <w:gridCol w:w="1650"/>
        <w:gridCol w:w="1850"/>
        <w:gridCol w:w="1720"/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Policy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Mean cost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Hours overloaded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Excess kWh per case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Worst overload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DQN seed 2026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0.03131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13.03%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777.96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28.56%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Market tracking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0.03248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13.33%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826.55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28.18%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Selected constant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0.03309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13.31%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826.92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29.32%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Capacity rule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0.03607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13.25%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827.04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27.78%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 hour greedy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0.05226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18.09%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1446.09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37.44%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Constant minimum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0.05226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18.09%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1446.09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37.44%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Constant maximum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0.13604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11.83%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677.16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25.80%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550" w:type="dxa"/>
          </w:tcPr>
          <w:p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Episode constant oracle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350" w:type="dxa"/>
          </w:tcPr>
          <w:p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0.03126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50" w:type="dxa"/>
          </w:tcPr>
          <w:p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12.94%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784.64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720" w:type="dxa"/>
          </w:tcPr>
          <w:p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28.16%</w:t>
            </w:r>
          </w:p>
        </w:tc>
      </w:tr>
    </w:tbl>
    <w:p w14:paraId="000004C4">
      <w:pPr>
        <w:rPr/>
      </w:pPr>
      <w:r>
        <w:rPr>
          <w:rtl w:val="0"/>
        </w:rPr>
        <w:t xml:space="preserve">Versus market, cost fell </w:t>
      </w:r>
      <w:r>
        <w:rPr>
          <w:rtl w:val="0"/>
          <w:b w:val="1"/>
          <w:bCs w:val="1"/>
        </w:rPr>
        <w:t xml:space="preserve">3.60%</w:t>
      </w:r>
      <w:r>
        <w:rPr>
          <w:rtl w:val="0"/>
        </w:rPr>
        <w:t xml:space="preserve">, overload region-hours fell from </w:t>
      </w:r>
      <w:r>
        <w:rPr>
          <w:rtl w:val="0"/>
          <w:b w:val="1"/>
          <w:bCs w:val="1"/>
        </w:rPr>
        <w:t xml:space="preserve">1,113 to 1,088</w:t>
      </w:r>
      <w:r>
        <w:rPr>
          <w:rtl w:val="0"/>
        </w:rPr>
        <w:t xml:space="preserve"> (</w:t>
      </w:r>
      <w:r>
        <w:rPr>
          <w:rtl w:val="0"/>
          <w:b w:val="1"/>
          <w:bCs w:val="1"/>
        </w:rPr>
        <w:t xml:space="preserve">2.25%</w:t>
      </w:r>
      <w:r>
        <w:rPr>
          <w:rtl w:val="0"/>
        </w:rPr>
        <w:t xml:space="preserve">), and excess energy fell </w:t>
      </w:r>
      <w:r>
        <w:rPr>
          <w:rtl w:val="0"/>
          <w:b w:val="1"/>
          <w:bCs w:val="1"/>
        </w:rPr>
        <w:t xml:space="preserve">5.88%</w:t>
      </w:r>
      <w:r>
        <w:rPr>
          <w:rtl w:val="0"/>
        </w:rPr>
        <w:t xml:space="preserve">. Paired hours show </w:t>
      </w:r>
      <w:r>
        <w:rPr>
          <w:rtl w:val="0"/>
          <w:b w:val="1"/>
          <w:bCs w:val="1"/>
        </w:rPr>
        <w:t xml:space="preserve">74 overload hours avoided</w:t>
      </w:r>
      <w:r>
        <w:rPr>
          <w:rtl w:val="0"/>
        </w:rPr>
        <w:t xml:space="preserve"> and </w:t>
      </w:r>
      <w:r>
        <w:rPr>
          <w:rtl w:val="0"/>
          <w:b w:val="1"/>
          <w:bCs w:val="1"/>
        </w:rPr>
        <w:t xml:space="preserve">49 introduced</w:t>
      </w:r>
      <w:r>
        <w:rPr>
          <w:rtl w:val="0"/>
        </w:rPr>
        <w:t xml:space="preserve">, a net reduction of 25.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150"/>
        <w:gridCol w:w="1400"/>
        <w:gridCol w:w="1400"/>
        <w:gridCol w:w="1600"/>
        <w:gridCol w:w="1600"/>
        <w:gridCol w:w="1970"/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150" w:type="dxa"/>
          </w:tcPr>
          <w:p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Scarcity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400" w:type="dxa"/>
          </w:tcPr>
          <w:p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NO1 limit kW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400" w:type="dxa"/>
          </w:tcPr>
          <w:p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NO5 limit kW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Market overload hours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DQN overload hours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970" w:type="dxa"/>
          </w:tcPr>
          <w:p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DQN cases within limits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150" w:type="dxa"/>
          </w:tcPr>
          <w:p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00" w:type="dxa"/>
          </w:tcPr>
          <w:p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1297.64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00" w:type="dxa"/>
          </w:tcPr>
          <w:p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674.38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0.00%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70" w:type="dxa"/>
          </w:tcPr>
          <w:p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29/29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150" w:type="dxa"/>
          </w:tcPr>
          <w:p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00" w:type="dxa"/>
          </w:tcPr>
          <w:p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1166.39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00" w:type="dxa"/>
          </w:tcPr>
          <w:p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609.01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0.79%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0.86%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70" w:type="dxa"/>
          </w:tcPr>
          <w:p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22/29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150" w:type="dxa"/>
          </w:tcPr>
          <w:p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Severe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00" w:type="dxa"/>
          </w:tcPr>
          <w:p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952.18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400" w:type="dxa"/>
          </w:tcPr>
          <w:p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509.16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39.19%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600" w:type="dxa"/>
          </w:tcPr>
          <w:p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38.22%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70" w:type="dxa"/>
          </w:tcPr>
          <w:p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0/29</w:t>
            </w:r>
          </w:p>
        </w:tc>
      </w:tr>
    </w:tbl>
    <w:p w14:paraId="000004E9">
      <w:pPr>
        <w:rPr/>
      </w:pPr>
      <w:r>
        <w:rPr>
          <w:rtl w:val="0"/>
        </w:rPr>
        <w:t xml:space="preserve">Severe overload fell from </w:t>
      </w:r>
      <w:r>
        <w:rPr>
          <w:rtl w:val="0"/>
          <w:b w:val="1"/>
          <w:bCs w:val="1"/>
        </w:rPr>
        <w:t xml:space="preserve">39.19% to 38.22%</w:t>
      </w:r>
      <w:r>
        <w:rPr>
          <w:rtl w:val="0"/>
        </w:rPr>
        <w:t xml:space="preserve">; moderate overload worsened slightly. Every severe case still overloaded. Worst overload was </w:t>
      </w:r>
      <w:r>
        <w:rPr>
          <w:rtl w:val="0"/>
          <w:b w:val="1"/>
          <w:bCs w:val="1"/>
        </w:rPr>
        <w:t xml:space="preserve">28.56% above capacity</w:t>
      </w:r>
      <w:r>
        <w:rPr>
          <w:rtl w:val="0"/>
        </w:rPr>
        <w:t xml:space="preserve">, versus market’s </w:t>
      </w:r>
      <w:r>
        <w:rPr>
          <w:rtl w:val="0"/>
          <w:b w:val="1"/>
          <w:bCs w:val="1"/>
        </w:rPr>
        <w:t xml:space="preserve">28.18%</w:t>
      </w:r>
      <w:r>
        <w:rPr>
          <w:rtl w:val="0"/>
        </w:rPr>
        <w:t xml:space="preserve">, and the mean case peak of combined regional demand was </w:t>
      </w:r>
      <w:r>
        <w:rPr>
          <w:rtl w:val="0"/>
          <w:b w:val="1"/>
          <w:bCs w:val="1"/>
        </w:rPr>
        <w:t xml:space="preserve">0.33% higher</w:t>
      </w:r>
      <w:r>
        <w:rPr>
          <w:rtl w:val="0"/>
        </w:rPr>
        <w:t xml:space="preserve">. Continuous capacity compliance was not achieved.</w:t>
      </w:r>
    </w:p>
    <w:p w14:paraId="000004EA">
      <w:pPr>
        <w:rPr/>
      </w:pPr>
      <w:r>
        <w:rPr>
          <w:rtl w:val="0"/>
        </w:rPr>
        <w:t xml:space="preserve">Constant maximum produced less physical overload than DQN, but its full cost was </w:t>
      </w:r>
      <w:r>
        <w:rPr>
          <w:rtl w:val="0"/>
          <w:b w:val="1"/>
          <w:bCs w:val="1"/>
        </w:rPr>
        <w:t xml:space="preserve">0.13604</w:t>
      </w:r>
      <w:r>
        <w:rPr>
          <w:rtl w:val="0"/>
        </w:rPr>
        <w:t xml:space="preserve"> because the objective also protects households. The episode constant oracle had slightly lower cost than DQN (</w:t>
      </w:r>
      <w:r>
        <w:rPr>
          <w:rtl w:val="0"/>
          <w:b w:val="1"/>
          <w:bCs w:val="1"/>
        </w:rPr>
        <w:t xml:space="preserve">0.03126 versus 0.03131</w:t>
      </w:r>
      <w:r>
        <w:rPr>
          <w:rtl w:val="0"/>
        </w:rPr>
        <w:t xml:space="preserve">). DQN therefore beat the practical selected-constant policy by </w:t>
      </w:r>
      <w:r>
        <w:rPr>
          <w:rtl w:val="0"/>
          <w:b w:val="1"/>
          <w:bCs w:val="1"/>
        </w:rPr>
        <w:t xml:space="preserve">5.38%</w:t>
      </w:r>
      <w:r>
        <w:rPr>
          <w:rtl w:val="0"/>
        </w:rPr>
        <w:t xml:space="preserve">, but did not establish a switching advantage over the oracle.</w:t>
      </w:r>
    </w:p>
    <w:p w14:paraId="000004EB">
      <w:pPr>
        <w:rPr/>
        <w:pageBreakBefore w:val="1"/>
        <w:keepNext w:val="1"/>
      </w:pPr>
      <w:r>
        <w:rPr>
          <w:rtl w:val="0"/>
          <w:b w:val="1"/>
          <w:bCs w:val="1"/>
        </w:rPr>
        <w:t xml:space="preserve">How the price schedule changed modeled demand</w:t>
      </w:r>
    </w:p>
    <w:p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0720" cy="3347893"/>
            <wp:effectExtent b="0" l="0" r="0" t="0"/>
            <wp:docPr descr="Validation comparison regional traces.png" id="102" name="regional_traces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4ED">
      <w:pPr>
        <w:rPr/>
      </w:pPr>
      <w:r>
        <w:rPr>
          <w:rtl w:val="0"/>
          <w:sz w:val="18"/>
          <w:szCs w:val="18"/>
        </w:rPr>
        <w:t xml:space="preserve">Figure 2  Middle validation origin, 16 January 2022, severe scarcity. Regional demand follows the frozen consumer ensemble; the bottom panel shows the corresponding shared prices. The vertical dotted line marks the second midnight. This illustrative case was selected by chronological position, not by its improvement.</w:t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/>
        <w:t xml:space="preserve">Implications</w:t>
      </w:r>
    </w:p>
    <w:p w14:paraId="000004EE">
      <w:pPr>
        <w:rPr/>
      </w:pPr>
      <w:r>
        <w:rPr>
          <w:rtl w:val="0"/>
        </w:rPr>
        <w:t xml:space="preserve">The learned schedule altered the consumer model’s subsequent requests and reduced the integrated amount above capacity across the full validation set. Its weighted grid-cost term fell from </w:t>
      </w:r>
      <w:r>
        <w:rPr>
          <w:rtl w:val="0"/>
          <w:b w:val="1"/>
          <w:bCs w:val="1"/>
        </w:rPr>
        <w:t xml:space="preserve">0.22570 to 0.21823</w:t>
      </w:r>
      <w:r>
        <w:rPr>
          <w:rtl w:val="0"/>
        </w:rPr>
        <w:t xml:space="preserve">, a </w:t>
      </w:r>
      <w:r>
        <w:rPr>
          <w:rtl w:val="0"/>
          <w:b w:val="1"/>
          <w:bCs w:val="1"/>
        </w:rPr>
        <w:t xml:space="preserve">3.31% reduction</w:t>
      </w:r>
      <w:r>
        <w:rPr>
          <w:rtl w:val="0"/>
        </w:rPr>
        <w:t xml:space="preserve">. Total modeled energy differed from the recorded-price reference by only </w:t>
      </w:r>
      <w:r>
        <w:rPr>
          <w:rtl w:val="0"/>
          <w:b w:val="1"/>
          <w:bCs w:val="1"/>
        </w:rPr>
        <w:t xml:space="preserve">−0.34%</w:t>
      </w:r>
      <w:r>
        <w:rPr>
          <w:rtl w:val="0"/>
        </w:rPr>
        <w:t xml:space="preserve">, while mean absolute household energy deviation was </w:t>
      </w:r>
      <w:r>
        <w:rPr>
          <w:rtl w:val="0"/>
          <w:b w:val="1"/>
          <w:bCs w:val="1"/>
        </w:rPr>
        <w:t xml:space="preserve">0.71%</w:t>
      </w:r>
      <w:r>
        <w:rPr>
          <w:rtl w:val="0"/>
        </w:rPr>
        <w:t xml:space="preserve">. The benefit was therefore not accompanied by large aggregate energy suppression in this validation result.</w:t>
      </w:r>
    </w:p>
    <w:p w14:paraId="000004EF">
      <w:pPr>
        <w:rPr/>
      </w:pPr>
      <w:r>
        <w:rPr>
          <w:rtl w:val="0"/>
        </w:rPr>
        <w:t xml:space="preserve">These are controlled comparisons inside one learned simulator. Their direction and magnitude depend on the consumer model; observational price/consumption training cannot identify causal elasticity. A lower combined cost also does not imply lower peaks, fewer overloads in every scenario or real voltage/frequency stability. The three-seed mean remains approximately tied with market pricing, and reserved-dynamics follow-up is pending.</w:t>
      </w:r>
    </w:p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/>
        <w:t xml:space="preserve">Recommendations</w:t>
      </w:r>
    </w:p>
    <w:p w14:paraId="000004F0">
      <w:pPr>
        <w:rPr/>
      </w:pPr>
      <w:r>
        <w:rPr>
          <w:rtl w:val="0"/>
        </w:rPr>
        <w:t xml:space="preserve">The implementation provides a bounded research checkpoint: a consumer simulator, a price selector, explicit reward accounting and inspectable household trajectories. The next stage should address remaining scarcity while preserving the distinction between requested demand and delivered service.</w:t>
      </w:r>
    </w:p>
    <w:p w14:paraId="000004F1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Complete the frozen comparison.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Finish evaluation on the previously examined February–March origins under common upgraded dynamics, reserved consumer seed 2026 and the price-free control. Report every policy seed and paired uncertainty. Keep validation-selected performance distinct from follow-up evidence.</w:t>
      </w:r>
    </w:p>
    <w:p w14:paraId="000004F2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Test regional resource allocation.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Compare FCFS in seeded assumed order, proportional allocation and cumulative fair priority under the same fixed price schedules. Keep NO1/NO5 budgets separate. Evaluate unserved energy, essential-service feasibility and household fairness explicitly rather than absorbing shortages into an unexplained reward.</w:t>
      </w:r>
    </w:p>
    <w:p w14:paraId="000004F3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 w:val="1"/>
          <w:bCs w:val="1"/>
        </w:rPr>
        <w:t xml:space="preserve">Validate consumer behaviour under curtailment.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Record requested and allocated energy separately. Do not feed curtailed delivery into the frozen consumer model as though it were a measured voluntary response. Until outage-response data or another validated behaviour model is available, describe any curtailed-history forecasts as stress tests, not accurate consumer adaptation.</w:t>
      </w:r>
    </w:p>
    <w:bookmarkStart w:colFirst="0" w:colLast="0" w:name="bookmark=id.rl3o3rp5qmnq" w:id="7"/>
    <w:bookmarkEnd w:id="7"/>
    <w:p w14:paraId="0000003D">
      <w:pPr>
        <w:pStyle w:val="Heading2"/>
        <w:rPr/>
        <w:spacing w:before="160"/>
      </w:pPr>
      <w:r>
        <w:rPr/>
        <w:t xml:space="preserve">Conclusion</w:t>
      </w:r>
    </w:p>
    <w:p w14:paraId="000004F4">
      <w:pPr>
        <w:rPr/>
      </w:pPr>
      <w:r>
        <w:rPr>
          <w:rtl w:val="0"/>
        </w:rPr>
        <w:t xml:space="preserve">The best observed DQN learned a genuinely varying price schedule and achieved a modest modeled reduction in grid stress while improving the combined objective relative to market tracking and a practical fixed-price policy. The evidence supports continuing the research, with the best-seed and simulator limitations stated explicitly.</w:t>
      </w:r>
    </w:p>
    <w:p w14:paraId="000004F5">
      <w:pPr>
        <w:rPr/>
      </w:pPr>
      <w:r>
        <w:rPr>
          <w:rtl w:val="0"/>
          <w:b w:val="1"/>
          <w:bCs w:val="1"/>
        </w:rPr>
        <w:t xml:space="preserve">The next research step is to test allocation of resources under the remaining regional capacity shortages, and verify how consumer behaviour should be represented after allocation.</w:t>
      </w:r>
      <w:r>
        <w:rPr>
          <w:rtl w:val="0"/>
        </w:rPr>
        <w:t xml:space="preserve"> Pricing can reduce some requested demand stress; a separately evaluated allocator must determine delivery when requests still exceed capacity. This report does not claim that the current consumer model already predicts real reactions to curtailment.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/>
        <w:t xml:space="preserve">Appendix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/>
        <w:t xml:space="preserve">Notes</w:t>
      </w:r>
    </w:p>
    <w:p w14:paraId="000004F6">
      <w:pPr>
        <w:rPr/>
        <w:keepNext w:val="1"/>
      </w:pPr>
      <w:r>
        <w:rPr>
          <w:rtl w:val="0"/>
          <w:b w:val="1"/>
          <w:bCs w:val="1"/>
        </w:rPr>
        <w:t xml:space="preserve">Exact reward definitions</w:t>
      </w:r>
    </w:p>
    <w:p w14:paraId="000004F7">
      <w:pPr>
        <w:rPr/>
      </w:pPr>
      <w:r>
        <w:rPr>
          <w:rtl w:val="0"/>
        </w:rPr>
        <w:t xml:space="preserve">Let B(x) = (x / (1 + x))² and [x]₊ = max(x, 0). For each region, z = regional hourly power / constructed capacity.</w:t>
      </w:r>
    </w:p>
    <w:p w14:paraId="000004F8">
      <w:pPr>
        <w:rPr/>
      </w:pPr>
      <w:r>
        <w:rPr>
          <w:rtl w:val="0"/>
        </w:rPr>
        <w:t xml:space="preserve">g(z) = 0.5 × {B([z − 0.90]₊ / 0.10) + B([z − 1]₊ / 0.10)}.</w:t>
      </w:r>
    </w:p>
    <w:p w14:paraId="000004F9">
      <w:pPr>
        <w:rPr/>
      </w:pPr>
      <w:r>
        <w:rPr>
          <w:rtl w:val="0"/>
        </w:rPr>
        <w:t xml:space="preserve">u = clip((preceding z − 0.80) / 0.20, 0, 1); w = 1 + 4u²(3 − 2u).</w:t>
      </w:r>
    </w:p>
    <w:p w14:paraId="000004FA">
      <w:pPr>
        <w:rPr/>
      </w:pPr>
      <w:r>
        <w:rPr>
          <w:rtl w:val="0"/>
        </w:rPr>
        <w:t xml:space="preserve">Energy cost = household mean of B([|E − E0| / max(E0, 10⁻⁶) − 0.05]₊ / 0.05).</w:t>
      </w:r>
    </w:p>
    <w:p w14:paraId="000004FB">
      <w:pPr>
        <w:rPr/>
      </w:pPr>
      <w:r>
        <w:rPr>
          <w:rtl w:val="0"/>
        </w:rPr>
        <w:t xml:space="preserve">d = max(|A0|, 0.01 × training median price × E0, 10⁻⁶). Charge cost = household mean of B([(A − A0) / d − 0.05]₊ / 0.05).</w:t>
      </w:r>
    </w:p>
    <w:p w14:paraId="000004FC">
      <w:pPr>
        <w:rPr/>
      </w:pPr>
      <w:r>
        <w:rPr>
          <w:rtl w:val="0"/>
        </w:rPr>
        <w:t xml:space="preserve">C = {mean over 48 hours and two regions of w × g(z) + energy cost + charge cost} / 7. Total reward = −100C; gamma = 1. E and E0 are episode kWh; A and A0 are modeled NOK charges. The fixed normalization bounds cost in [0, 1].</w:t>
      </w:r>
    </w:p>
    <w:p w14:paraId="000004FD">
      <w:pPr>
        <w:rPr/>
        <w:keepNext w:val="1"/>
      </w:pPr>
      <w:r>
        <w:rPr>
          <w:rtl w:val="0"/>
          <w:b w:val="1"/>
          <w:bCs w:val="1"/>
        </w:rPr>
        <w:t xml:space="preserve">All six completed fits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00"/>
        <w:gridCol w:w="1200"/>
        <w:gridCol w:w="2050"/>
        <w:gridCol w:w="1850"/>
        <w:gridCol w:w="1920"/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2100" w:type="dxa"/>
          </w:tcPr>
          <w:p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Training simulator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200" w:type="dxa"/>
          </w:tcPr>
          <w:p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Policy seed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2050" w:type="dxa"/>
          </w:tcPr>
          <w:p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Best validation cost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Final decisions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  <w:tcW w:w="1920" w:type="dxa"/>
          </w:tcPr>
          <w:p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 w:val="1"/>
              </w:rPr>
              <w:t xml:space="preserve">Initial policy stayed best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100" w:type="dxa"/>
          </w:tcPr>
          <w:p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Old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200" w:type="dxa"/>
          </w:tcPr>
          <w:p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050" w:type="dxa"/>
          </w:tcPr>
          <w:p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0.05101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162,096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20" w:type="dxa"/>
          </w:tcPr>
          <w:p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100" w:type="dxa"/>
          </w:tcPr>
          <w:p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200" w:type="dxa"/>
          </w:tcPr>
          <w:p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050" w:type="dxa"/>
          </w:tcPr>
          <w:p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0.03408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140,880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20" w:type="dxa"/>
          </w:tcPr>
          <w:p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100" w:type="dxa"/>
          </w:tcPr>
          <w:p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Old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200" w:type="dxa"/>
          </w:tcPr>
          <w:p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050" w:type="dxa"/>
          </w:tcPr>
          <w:p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0.05549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148,176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20" w:type="dxa"/>
          </w:tcPr>
          <w:p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100" w:type="dxa"/>
          </w:tcPr>
          <w:p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200" w:type="dxa"/>
          </w:tcPr>
          <w:p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050" w:type="dxa"/>
          </w:tcPr>
          <w:p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0.03220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139,440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20" w:type="dxa"/>
          </w:tcPr>
          <w:p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100" w:type="dxa"/>
          </w:tcPr>
          <w:p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Old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200" w:type="dxa"/>
          </w:tcPr>
          <w:p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050" w:type="dxa"/>
          </w:tcPr>
          <w:p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0.05547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138,624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20" w:type="dxa"/>
          </w:tcPr>
          <w:p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100" w:type="dxa"/>
          </w:tcPr>
          <w:p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200" w:type="dxa"/>
          </w:tcPr>
          <w:p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2050" w:type="dxa"/>
          </w:tcPr>
          <w:p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0.03131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850" w:type="dxa"/>
          </w:tcPr>
          <w:p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138,096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  <w:tcW w:w="1920" w:type="dxa"/>
          </w:tcPr>
          <w:p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</w:tbl>
    <w:p w14:paraId="0000052D">
      <w:pPr>
        <w:rPr/>
      </w:pPr>
      <w:r>
        <w:rPr>
          <w:rtl w:val="0"/>
        </w:rPr>
        <w:t xml:space="preserve">Old/new costs use different dynamics and are not directly comparable. Upgraded seeds average </w:t>
      </w:r>
      <w:r>
        <w:rPr>
          <w:rtl w:val="0"/>
          <w:b w:val="1"/>
          <w:bCs w:val="1"/>
        </w:rPr>
        <w:t xml:space="preserve">0.03253</w:t>
      </w:r>
      <w:r>
        <w:rPr>
          <w:rtl w:val="0"/>
        </w:rPr>
        <w:t xml:space="preserve">: </w:t>
      </w:r>
      <w:r>
        <w:rPr>
          <w:rtl w:val="0"/>
          <w:b w:val="1"/>
          <w:bCs w:val="1"/>
        </w:rPr>
        <w:t xml:space="preserve">0.16% above market</w:t>
      </w:r>
      <w:r>
        <w:rPr>
          <w:rtl w:val="0"/>
        </w:rPr>
        <w:t xml:space="preserve"> and </w:t>
      </w:r>
      <w:r>
        <w:rPr>
          <w:rtl w:val="0"/>
          <w:b w:val="1"/>
          <w:bCs w:val="1"/>
        </w:rPr>
        <w:t xml:space="preserve">1.69% below selected constant</w:t>
      </w:r>
      <w:r>
        <w:rPr>
          <w:rtl w:val="0"/>
        </w:rPr>
        <w:t xml:space="preserve">. Seed 42 remains the predeclared representative; seed 2026 is highlighted descriptively.</w:t>
      </w:r>
    </w:p>
    <w:p w14:paraId="0000052E">
      <w:pPr>
        <w:rPr/>
      </w:pPr>
      <w:r>
        <w:rPr>
          <w:rtl w:val="0"/>
        </w:rPr>
        <w:t xml:space="preserve">Overlapping windows are not independent. Final uncertainty uses 5,000 paired block resamples with seven-day primary and three-/fourteen-day sensitivity, averaging policy seeds/scenarios within day. Follow-up results remain pending.</w:t>
      </w:r>
    </w:p>
    <w:bookmarkStart w:colFirst="0" w:colLast="0" w:name="bookmark=id.nnk1eebni0ji" w:id="10"/>
    <w:bookmarkEnd w:id="10"/>
    <w:p w14:paraId="00000044">
      <w:pPr>
        <w:pStyle w:val="Heading2"/>
        <w:rPr/>
        <w:pageBreakBefore w:val="1"/>
      </w:pPr>
      <w:r>
        <w:rPr/>
        <w:t xml:space="preserve">Source records</w:t>
      </w:r>
    </w:p>
    <w:p w14:paraId="0000052F">
      <w:pPr>
        <w:rPr/>
      </w:pPr>
      <w:r>
        <w:rPr>
          <w:rtl w:val="0"/>
        </w:rPr>
        <w:t xml:space="preserve">Evidence snapshot: </w:t>
      </w:r>
      <w:r>
        <w:rPr>
          <w:rtl w:val="0"/>
          <w:b w:val="1"/>
          <w:bCs w:val="1"/>
        </w:rPr>
        <w:t xml:space="preserve">27 October 2026 at 13:08 IST</w:t>
      </w:r>
      <w:r>
        <w:rPr>
          <w:rtl w:val="0"/>
        </w:rPr>
        <w:t xml:space="preserve">. Current pipeline stage at capture: follow-up evaluation under old dynamics. January metrics are complete and immutable; the final pricing comparison and report have not yet been produced. All numeric tables above were recalculated from saved hourly trajectories.</w:t>
      </w:r>
    </w:p>
    <w:p w14:paraId="0000053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Winning policy: runs/pricing_checkpoint_v1/new_seed2026/best.json and best.zip.</w:t>
      </w:r>
    </w:p>
    <w:p w14:paraId="0000053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Baselines and grid enumeration: runs/pricing_checkpoint_v1/validation/new/baselines.json.</w:t>
      </w:r>
    </w:p>
    <w:p w14:paraId="0000053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Consumer code: response_v2/model.py and data.py; pricing_v2/engine.py. C-seed-42 and C-seed-7 weights: runs/response_refinement_v2/.</w:t>
      </w:r>
    </w:p>
    <w:p w14:paraId="0000053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Consumer study: runs/response_refinement_v2/selection.json, evaluation.json and REPORT.md. Its 48-hour RMSE improved from 0.87736 to 0.85876 kWh (2.12%); this is forecast evidence, not causal price validation.</w:t>
      </w:r>
    </w:p>
    <w:p w14:paraId="0000053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Pricing code: pricing_v2/environment.py, objective.py and train.py; shared DQN settings: dqn/train.py.</w:t>
      </w:r>
    </w:p>
    <w:p w14:paraId="0000053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Provenance and checks: runs/pricing_checkpoint_v1/settings.json, selection.json, fit_summaries.json and preflight.json.</w:t>
      </w:r>
    </w:p>
    <w:p w14:paraId="00000536">
      <w:pPr>
        <w:rPr/>
      </w:pPr>
      <w:r>
        <w:rPr>
          <w:rtl w:val="0"/>
        </w:rPr>
        <w:t xml:space="preserve">Paths are relative to norway_energy_crisis/. Full source/checkpoint SHA-256 fingerprints are saved with the experiment. The suite ran 103 tests with two sandbox GPU skips. Separate full-cohort MPS checks passed inference parity within 0.000002 kWh, learner recovery and 48-hour price-free invariance.</w:t>
      </w:r>
    </w:p>
    <w:p w14:paraId="00000537">
      <w:pPr>
        <w:rPr/>
      </w:pPr>
      <w:r>
        <w:rPr>
          <w:rtl w:val="0"/>
          <w:b w:val="1"/>
          <w:bCs w:val="1"/>
        </w:rPr>
        <w:t xml:space="preserve">Evidence boundaries.</w:t>
      </w:r>
      <w:r>
        <w:rPr>
          <w:rtl w:val="0"/>
        </w:rPr>
        <w:t xml:space="preserve"> Training covers October 2020–December 2021; validation is January 2022, with February–March retrospective follow-up. Each history/target stays inside its partition. The 717-household contract assignment is based on later survey answers assumed stable retrospectively. Weather is regional reanalysis persisted at each origin. Capacities are measured-training quantiles used as constructed limits, not observed feeder ratings. Historical demand under actual tariffs is measured; alternative-price demand is predicted. Spot-energy charges exclude full retail bills and supplier profit.</w:t>
      </w:r>
    </w:p>
    <w:p w14:paraId="00000538">
      <w:pPr>
        <w:rPr/>
      </w:pPr>
      <w:r>
        <w:rPr>
          <w:rtl w:val="0"/>
        </w:rPr>
        <w:t xml:space="preserve">The reviewed paper 1812.09567v1 motivated history-dependent demand states; its simulated backlog and minimum-consumption rules were not transferred. Neither the validation improvement nor a future allocation simulation should be described as causal demand-response validation.</w:t>
      </w:r>
    </w:p>
    <w:p w14:paraId="00000539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  <w:b w:val="1"/>
          <w:bCs w:val="1"/>
        </w:rPr>
        <w:t xml:space="preserve">Next stage:</w:t>
      </w: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test resource allocation and validate the representation of consumer behaviour when allocated supply differs from requested consumption.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Electricity pricing study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27 October 2026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101" Type="http://schemas.openxmlformats.org/officeDocument/2006/relationships/image" Target="media/price_changes.png"/><Relationship Id="rId102" Type="http://schemas.openxmlformats.org/officeDocument/2006/relationships/image" Target="media/regional_traces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