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SoleStyle Footwear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Business Plan 2024-2029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Executive Summary</w:t>
      </w:r>
    </w:p>
    <w:p>
      <w:pPr>
        <w:pStyle w:val="BodyText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SoleStyle Footwear aims to revolutionize the footwear industry by offering sustainable, customizable sneakers that combine comfort, style, and environmental responsibility. Our target market consists of environmentally conscious consumers aged 18-35 who value both fashion and sustainability. We project to capture 2% of the premium sneaker market within our first three years of operation.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Financial Highlights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Initial Investment Required: $500,000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Projected First-Year Revenue: $1.2M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Break-even Point: Month 18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Projected Year 3 Revenue: $5.4M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Expected Net Profit Margin: 22% 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Company Description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Business Overview</w:t>
      </w:r>
    </w:p>
    <w:p>
      <w:pPr>
        <w:pStyle w:val="BodyText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SoleStyle Footwear is a direct-to-consumer footwear company specializing in eco-friendly sneakers. Our unique selling proposition combines: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Sustainable materials (recycled plastics, organic cotton, natural rubber)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Customizable design elements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Direct-to-consumer sales model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Carbon-neutral manufacturing process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Legal Structure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Delaware C-Corporation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Headquarters: Portland, Oregon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Manufacturing: Contracted facilities in Vietnam with sustainable certifications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Mission Statement</w:t>
      </w:r>
    </w:p>
    <w:p>
      <w:pPr>
        <w:pStyle w:val="BodyText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"To create exceptional footwear that empowers individuals to express their style while minimizing environmental impact."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 Analysis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Industry Overview</w:t>
      </w:r>
    </w:p>
    <w:p>
      <w:pPr>
        <w:pStyle w:val="BodyText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global athletic footwear market: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Market size: $127.3 billion (2023)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Expected CAGR: 4.8% (2024-2029)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Sustainable footwear segment growing at 6.2% annually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 Market</w:t>
      </w:r>
    </w:p>
    <w:p>
      <w:pPr>
        <w:pStyle w:val="BodyText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Primary: Urban Professionals and Students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Age: 18-35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Income: $45,000-$120,000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Values sustainability and fashion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Active on social media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Willing to pay premium for sustainable products </w:t>
      </w:r>
    </w:p>
    <w:p>
      <w:pPr>
        <w:pStyle w:val="BodyText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Secondary: Athletic Enthusiasts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Age: 25-45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Income: $60,000+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Focus on performance and comfort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Regular exercise routine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Brand conscious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Competitor Analysis</w:t>
      </w:r>
    </w:p>
    <w:p>
      <w:pPr>
        <w:pStyle w:val="BodyText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 Competitors: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Allbirds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Strengths: Established sustainable brand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Weaknesses: Limited style options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Nike (Sustainable Line)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Strengths: Brand recognition, distribution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Weaknesses: Less focus on sustainability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Adidas (Recycled Line)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Strengths: Global presence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Weaknesses: Higher price point 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Line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Collection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SoleStyle Classic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Price: $129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Materials: Recycled polyester, natural rubber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Features: Customizable colors, sustainable packaging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SoleStyle Performance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Price: $159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Materials: Performance recycled mesh, bio-based cushioning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Features: Enhanced support, athletic design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SoleStyle Limited Editions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Price: $199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Materials: Premium sustainable materials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Features: Artist collaborations, numbered series 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 Strategy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Digital Marketing (40% of marketing budget)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Instagram and TikTok influencer partnerships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Targeted social media advertising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marketing campaigns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SEO optimization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Content marketing focusing on sustainability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Experiential Marketing (30%)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Pop-up stores in key markets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Sustainability events and workshops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College campus ambassador program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Athletic event sponsorships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 and Partnerships (30%)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Environmental organization partnerships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Fashion blogger collaborations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Sustainability certification programs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Local community initiatives 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Operational Plan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Manufacturing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Primary Facility: Ho Chi Minh City, Vietnam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Secondary Facility: Jakarta, Indonesia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Production Capacity: 10,000 pairs/month initially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Quality Control: ISO 9001 certified process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Supply Chain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Materials sourced from certified sustainable suppliers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Local warehouse facilities in key markets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Third-party logistics partners for distribution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Real-time inventory management system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 Infrastructure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 e-commerce platform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Cloud-based inventory management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CRM system for customer service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analytics for demand forecasting 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Team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CEO: Sarah Chen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 years footwear industry experience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Former Nike Product Director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COO: Michael Rodriguez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 years manufacturing operations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Sustainable supply chain expert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CMO: David Park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 years digital marketing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Previously at Adidas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CFO: Lisa Thompson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 years financial management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StartupCFO certification 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Financial Projections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 1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Revenue: $1.2M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Gross Margin: 58%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Expenses: $980K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Net Loss: ($180K)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 2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Revenue: $2.8M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Gross Margin: 60%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Expenses: $1.4M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Net Profit: $280K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 3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Revenue: $5.4M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Gross Margin: 62%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Expenses: $2.1M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Net Profit: $1.2M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Funding Requirements</w:t>
      </w:r>
    </w:p>
    <w:p>
      <w:pPr>
        <w:pStyle w:val="BodyText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Capital Need: $500,000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 Development: $150,000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Inventory: $200,000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Marketing: $100,000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Operations: $50,000 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 Analysis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Risks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Supply Chain Disruptions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Mitigation: Multiple supplier relationships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Inventory buffer maintenance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Market Competition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Mitigation: Unique sustainability focus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Strong brand differentiation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Economic Downturn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Mitigation: Flexible pricing strategy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Lean operations model 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Timeline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Phase 1 (Months 1-6)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 development and testing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Supply chain establishment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E-commerce platform development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Initial marketing campaign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Phase 2 (Months 7-12)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 launch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Marketing expansion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Sales channel development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Customer feedback integration </w:t>
      </w:r>
    </w:p>
    <w:p>
      <w:pPr>
        <w:pStyle w:val="Heading3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Phase 3 (Months 13-24)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 line expansion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Market expansion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Retail partnerships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International market entry </w:t>
      </w:r>
    </w:p>
    <w:p>
      <w:pPr>
        <w:pStyle w:val="Heading2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Success Metrics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Sales Performance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Monthly revenue growth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Customer acquisition cost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Average order value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 Performance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Customer satisfaction rates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 rates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 margin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Brand Performance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Social media engagement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Brand awareness metrics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loyalty rates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LibreOffice/24.2.4.2$Windows_X86_64 LibreOffice_project/51a6219feb6075d9a4c46691dcfe0cd9c4fff3c2</Application>
  <AppVersion>15.0000</AppVersion>
  <Pages>5</Pages>
  <Words>775</Words>
  <Characters>4840</Characters>
  <CharactersWithSpaces>5439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2024-12-30T12:09:52Z</dcterms:created>
  <dc:creator/>
  <dc:description/>
  <dc:language>en-IN</dc:language>
  <cp:lastModifiedBy/>
  <dcterms:modified xsi:type="dcterms:W3CDTF">2024-12-30T12:11:40Z</dcterms:modified>
  <cp:revision>1</cp:revision>
  <dc:subject/>
  <dc:title/>
</cp:coreProperties>
</file>