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2EA3" w:rsidRPr="00EB2EA3" w:rsidRDefault="00EB2EA3" w:rsidP="00EB2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2E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Executive Summary – </w:t>
      </w:r>
      <w:proofErr w:type="spellStart"/>
      <w:r w:rsidRPr="00EB2EA3">
        <w:rPr>
          <w:rFonts w:ascii="Times New Roman" w:eastAsia="Times New Roman" w:hAnsi="Times New Roman" w:cs="Times New Roman"/>
          <w:b/>
          <w:bCs/>
          <w:sz w:val="36"/>
          <w:szCs w:val="36"/>
        </w:rPr>
        <w:t>Swiggy</w:t>
      </w:r>
      <w:proofErr w:type="spellEnd"/>
      <w:r w:rsidRPr="00EB2E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Sales Performance Analysis</w:t>
      </w:r>
    </w:p>
    <w:p w:rsidR="00EB2EA3" w:rsidRPr="00EB2EA3" w:rsidRDefault="00EB2EA3" w:rsidP="00EB2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EA3">
        <w:rPr>
          <w:rFonts w:ascii="Times New Roman" w:eastAsia="Times New Roman" w:hAnsi="Times New Roman" w:cs="Times New Roman"/>
          <w:sz w:val="24"/>
          <w:szCs w:val="24"/>
        </w:rPr>
        <w:t xml:space="preserve">This project delivers a comprehensive analysis of </w:t>
      </w:r>
      <w:proofErr w:type="spellStart"/>
      <w:r w:rsidRPr="00EB2EA3">
        <w:rPr>
          <w:rFonts w:ascii="Times New Roman" w:eastAsia="Times New Roman" w:hAnsi="Times New Roman" w:cs="Times New Roman"/>
          <w:sz w:val="24"/>
          <w:szCs w:val="24"/>
        </w:rPr>
        <w:t>Swiggy’s</w:t>
      </w:r>
      <w:proofErr w:type="spellEnd"/>
      <w:r w:rsidRPr="00EB2EA3">
        <w:rPr>
          <w:rFonts w:ascii="Times New Roman" w:eastAsia="Times New Roman" w:hAnsi="Times New Roman" w:cs="Times New Roman"/>
          <w:sz w:val="24"/>
          <w:szCs w:val="24"/>
        </w:rPr>
        <w:t xml:space="preserve"> sales performance, customer behavior, and regional trends through an interactive dashboard. The objective is to provide business stakeholders with actionable insights to support data-driven decision-making across sales, marketing, and operations.</w:t>
      </w:r>
    </w:p>
    <w:p w:rsidR="00EB2EA3" w:rsidRPr="00EB2EA3" w:rsidRDefault="00EB2EA3" w:rsidP="00EB2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EA3">
        <w:rPr>
          <w:rFonts w:ascii="Times New Roman" w:eastAsia="Times New Roman" w:hAnsi="Times New Roman" w:cs="Times New Roman"/>
          <w:sz w:val="24"/>
          <w:szCs w:val="24"/>
        </w:rPr>
        <w:t xml:space="preserve">The analysis shows </w:t>
      </w:r>
      <w:r w:rsidRPr="00EB2EA3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 of ₹53.01 million</w:t>
      </w:r>
      <w:r w:rsidRPr="00EB2EA3">
        <w:rPr>
          <w:rFonts w:ascii="Times New Roman" w:eastAsia="Times New Roman" w:hAnsi="Times New Roman" w:cs="Times New Roman"/>
          <w:sz w:val="24"/>
          <w:szCs w:val="24"/>
        </w:rPr>
        <w:t xml:space="preserve">, generated from </w:t>
      </w:r>
      <w:r w:rsidRPr="00EB2EA3">
        <w:rPr>
          <w:rFonts w:ascii="Times New Roman" w:eastAsia="Times New Roman" w:hAnsi="Times New Roman" w:cs="Times New Roman"/>
          <w:b/>
          <w:bCs/>
          <w:sz w:val="24"/>
          <w:szCs w:val="24"/>
        </w:rPr>
        <w:t>197.4K total orders</w:t>
      </w:r>
      <w:r w:rsidRPr="00EB2EA3">
        <w:rPr>
          <w:rFonts w:ascii="Times New Roman" w:eastAsia="Times New Roman" w:hAnsi="Times New Roman" w:cs="Times New Roman"/>
          <w:sz w:val="24"/>
          <w:szCs w:val="24"/>
        </w:rPr>
        <w:t xml:space="preserve">, with an </w:t>
      </w:r>
      <w:r w:rsidRPr="00EB2EA3">
        <w:rPr>
          <w:rFonts w:ascii="Times New Roman" w:eastAsia="Times New Roman" w:hAnsi="Times New Roman" w:cs="Times New Roman"/>
          <w:b/>
          <w:bCs/>
          <w:sz w:val="24"/>
          <w:szCs w:val="24"/>
        </w:rPr>
        <w:t>average order value of ₹268.51</w:t>
      </w:r>
      <w:r w:rsidRPr="00EB2EA3">
        <w:rPr>
          <w:rFonts w:ascii="Times New Roman" w:eastAsia="Times New Roman" w:hAnsi="Times New Roman" w:cs="Times New Roman"/>
          <w:sz w:val="24"/>
          <w:szCs w:val="24"/>
        </w:rPr>
        <w:t xml:space="preserve">. Customer satisfaction remains consistently high, reflected in an </w:t>
      </w:r>
      <w:r w:rsidRPr="00EB2EA3">
        <w:rPr>
          <w:rFonts w:ascii="Times New Roman" w:eastAsia="Times New Roman" w:hAnsi="Times New Roman" w:cs="Times New Roman"/>
          <w:b/>
          <w:bCs/>
          <w:sz w:val="24"/>
          <w:szCs w:val="24"/>
        </w:rPr>
        <w:t>average rating of 4.34</w:t>
      </w:r>
      <w:r w:rsidRPr="00EB2EA3">
        <w:rPr>
          <w:rFonts w:ascii="Times New Roman" w:eastAsia="Times New Roman" w:hAnsi="Times New Roman" w:cs="Times New Roman"/>
          <w:sz w:val="24"/>
          <w:szCs w:val="24"/>
        </w:rPr>
        <w:t xml:space="preserve"> across </w:t>
      </w:r>
      <w:r w:rsidRPr="00EB2EA3">
        <w:rPr>
          <w:rFonts w:ascii="Times New Roman" w:eastAsia="Times New Roman" w:hAnsi="Times New Roman" w:cs="Times New Roman"/>
          <w:b/>
          <w:bCs/>
          <w:sz w:val="24"/>
          <w:szCs w:val="24"/>
        </w:rPr>
        <w:t>197.4K ratings</w:t>
      </w:r>
      <w:r w:rsidRPr="00EB2EA3">
        <w:rPr>
          <w:rFonts w:ascii="Times New Roman" w:eastAsia="Times New Roman" w:hAnsi="Times New Roman" w:cs="Times New Roman"/>
          <w:sz w:val="24"/>
          <w:szCs w:val="24"/>
        </w:rPr>
        <w:t>, indicating strong service quality and customer experience.</w:t>
      </w:r>
    </w:p>
    <w:p w:rsidR="00EB2EA3" w:rsidRPr="00EB2EA3" w:rsidRDefault="00EB2EA3" w:rsidP="00EB2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2EA3">
        <w:rPr>
          <w:rFonts w:ascii="Times New Roman" w:eastAsia="Times New Roman" w:hAnsi="Times New Roman" w:cs="Times New Roman"/>
          <w:b/>
          <w:bCs/>
          <w:sz w:val="27"/>
          <w:szCs w:val="27"/>
        </w:rPr>
        <w:t>Sales and Time-Based Insights</w:t>
      </w:r>
    </w:p>
    <w:p w:rsidR="00EB2EA3" w:rsidRPr="00EB2EA3" w:rsidRDefault="00EB2EA3" w:rsidP="00EB2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EA3">
        <w:rPr>
          <w:rFonts w:ascii="Times New Roman" w:eastAsia="Times New Roman" w:hAnsi="Times New Roman" w:cs="Times New Roman"/>
          <w:sz w:val="24"/>
          <w:szCs w:val="24"/>
        </w:rPr>
        <w:t xml:space="preserve">Monthly sales trends indicate fluctuations throughout the year, with </w:t>
      </w:r>
      <w:r w:rsidRPr="00EB2EA3">
        <w:rPr>
          <w:rFonts w:ascii="Times New Roman" w:eastAsia="Times New Roman" w:hAnsi="Times New Roman" w:cs="Times New Roman"/>
          <w:b/>
          <w:bCs/>
          <w:sz w:val="24"/>
          <w:szCs w:val="24"/>
        </w:rPr>
        <w:t>peak performance observed in May and August</w:t>
      </w:r>
      <w:r w:rsidRPr="00EB2EA3">
        <w:rPr>
          <w:rFonts w:ascii="Times New Roman" w:eastAsia="Times New Roman" w:hAnsi="Times New Roman" w:cs="Times New Roman"/>
          <w:sz w:val="24"/>
          <w:szCs w:val="24"/>
        </w:rPr>
        <w:t xml:space="preserve">, suggesting seasonal demand or promotional impact. Daily sales analysis highlights </w:t>
      </w:r>
      <w:r w:rsidRPr="00EB2EA3">
        <w:rPr>
          <w:rFonts w:ascii="Times New Roman" w:eastAsia="Times New Roman" w:hAnsi="Times New Roman" w:cs="Times New Roman"/>
          <w:b/>
          <w:bCs/>
          <w:sz w:val="24"/>
          <w:szCs w:val="24"/>
        </w:rPr>
        <w:t>Saturday and Thursday</w:t>
      </w:r>
      <w:r w:rsidRPr="00EB2EA3">
        <w:rPr>
          <w:rFonts w:ascii="Times New Roman" w:eastAsia="Times New Roman" w:hAnsi="Times New Roman" w:cs="Times New Roman"/>
          <w:sz w:val="24"/>
          <w:szCs w:val="24"/>
        </w:rPr>
        <w:t xml:space="preserve"> as the highest revenue-generating days, while </w:t>
      </w:r>
      <w:r w:rsidRPr="00EB2EA3">
        <w:rPr>
          <w:rFonts w:ascii="Times New Roman" w:eastAsia="Times New Roman" w:hAnsi="Times New Roman" w:cs="Times New Roman"/>
          <w:b/>
          <w:bCs/>
          <w:sz w:val="24"/>
          <w:szCs w:val="24"/>
        </w:rPr>
        <w:t>Tuesday records relatively lower sales</w:t>
      </w:r>
      <w:r w:rsidRPr="00EB2EA3">
        <w:rPr>
          <w:rFonts w:ascii="Times New Roman" w:eastAsia="Times New Roman" w:hAnsi="Times New Roman" w:cs="Times New Roman"/>
          <w:sz w:val="24"/>
          <w:szCs w:val="24"/>
        </w:rPr>
        <w:t>, presenting opportunities for targeted offers or demand stimulation. Weekly sales remain largely stable, showing consistent customer engagement over time.</w:t>
      </w:r>
    </w:p>
    <w:p w:rsidR="00EB2EA3" w:rsidRPr="00EB2EA3" w:rsidRDefault="00EB2EA3" w:rsidP="00EB2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2EA3">
        <w:rPr>
          <w:rFonts w:ascii="Times New Roman" w:eastAsia="Times New Roman" w:hAnsi="Times New Roman" w:cs="Times New Roman"/>
          <w:b/>
          <w:bCs/>
          <w:sz w:val="27"/>
          <w:szCs w:val="27"/>
        </w:rPr>
        <w:t>Product and Category Performance</w:t>
      </w:r>
    </w:p>
    <w:p w:rsidR="00EB2EA3" w:rsidRPr="00EB2EA3" w:rsidRDefault="00EB2EA3" w:rsidP="00EB2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EA3">
        <w:rPr>
          <w:rFonts w:ascii="Times New Roman" w:eastAsia="Times New Roman" w:hAnsi="Times New Roman" w:cs="Times New Roman"/>
          <w:sz w:val="24"/>
          <w:szCs w:val="24"/>
        </w:rPr>
        <w:t xml:space="preserve">Category-level analysis reveals that </w:t>
      </w:r>
      <w:r w:rsidRPr="00EB2EA3">
        <w:rPr>
          <w:rFonts w:ascii="Times New Roman" w:eastAsia="Times New Roman" w:hAnsi="Times New Roman" w:cs="Times New Roman"/>
          <w:b/>
          <w:bCs/>
          <w:sz w:val="24"/>
          <w:szCs w:val="24"/>
        </w:rPr>
        <w:t>Non-Veg items contribute 63% (₹33.33M)</w:t>
      </w:r>
      <w:r w:rsidRPr="00EB2EA3">
        <w:rPr>
          <w:rFonts w:ascii="Times New Roman" w:eastAsia="Times New Roman" w:hAnsi="Times New Roman" w:cs="Times New Roman"/>
          <w:sz w:val="24"/>
          <w:szCs w:val="24"/>
        </w:rPr>
        <w:t xml:space="preserve"> of total sales, while </w:t>
      </w:r>
      <w:r w:rsidRPr="00EB2EA3">
        <w:rPr>
          <w:rFonts w:ascii="Times New Roman" w:eastAsia="Times New Roman" w:hAnsi="Times New Roman" w:cs="Times New Roman"/>
          <w:b/>
          <w:bCs/>
          <w:sz w:val="24"/>
          <w:szCs w:val="24"/>
        </w:rPr>
        <w:t>Veg items account for 37% (₹19.68M)</w:t>
      </w:r>
      <w:r w:rsidRPr="00EB2EA3">
        <w:rPr>
          <w:rFonts w:ascii="Times New Roman" w:eastAsia="Times New Roman" w:hAnsi="Times New Roman" w:cs="Times New Roman"/>
          <w:sz w:val="24"/>
          <w:szCs w:val="24"/>
        </w:rPr>
        <w:t>. This highlights a strong customer preference for non-vegetarian offerings and provides direction for menu optimization and inventory planning.</w:t>
      </w:r>
    </w:p>
    <w:p w:rsidR="00EB2EA3" w:rsidRPr="00EB2EA3" w:rsidRDefault="00EB2EA3" w:rsidP="00EB2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2EA3">
        <w:rPr>
          <w:rFonts w:ascii="Times New Roman" w:eastAsia="Times New Roman" w:hAnsi="Times New Roman" w:cs="Times New Roman"/>
          <w:b/>
          <w:bCs/>
          <w:sz w:val="27"/>
          <w:szCs w:val="27"/>
        </w:rPr>
        <w:t>Geographic and City-Level Performance</w:t>
      </w:r>
    </w:p>
    <w:p w:rsidR="00EB2EA3" w:rsidRPr="00EB2EA3" w:rsidRDefault="00EB2EA3" w:rsidP="00EB2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EA3">
        <w:rPr>
          <w:rFonts w:ascii="Times New Roman" w:eastAsia="Times New Roman" w:hAnsi="Times New Roman" w:cs="Times New Roman"/>
          <w:sz w:val="24"/>
          <w:szCs w:val="24"/>
        </w:rPr>
        <w:t xml:space="preserve">City-wise analysis identifies </w:t>
      </w:r>
      <w:r w:rsidRPr="00EB2EA3">
        <w:rPr>
          <w:rFonts w:ascii="Times New Roman" w:eastAsia="Times New Roman" w:hAnsi="Times New Roman" w:cs="Times New Roman"/>
          <w:b/>
          <w:bCs/>
          <w:sz w:val="24"/>
          <w:szCs w:val="24"/>
        </w:rPr>
        <w:t>Bengaluru as the top-performing city</w:t>
      </w:r>
      <w:r w:rsidRPr="00EB2EA3">
        <w:rPr>
          <w:rFonts w:ascii="Times New Roman" w:eastAsia="Times New Roman" w:hAnsi="Times New Roman" w:cs="Times New Roman"/>
          <w:sz w:val="24"/>
          <w:szCs w:val="24"/>
        </w:rPr>
        <w:t xml:space="preserve">, generating </w:t>
      </w:r>
      <w:r w:rsidRPr="00EB2EA3">
        <w:rPr>
          <w:rFonts w:ascii="Times New Roman" w:eastAsia="Times New Roman" w:hAnsi="Times New Roman" w:cs="Times New Roman"/>
          <w:b/>
          <w:bCs/>
          <w:sz w:val="24"/>
          <w:szCs w:val="24"/>
        </w:rPr>
        <w:t>₹5.46M in sales</w:t>
      </w:r>
      <w:r w:rsidRPr="00EB2EA3">
        <w:rPr>
          <w:rFonts w:ascii="Times New Roman" w:eastAsia="Times New Roman" w:hAnsi="Times New Roman" w:cs="Times New Roman"/>
          <w:sz w:val="24"/>
          <w:szCs w:val="24"/>
        </w:rPr>
        <w:t>, followed by Hyderabad, Lucknow, Mumbai, and New Delhi. State-level sales distribution shows stronger performance across southern and western regions, offering insights for regional marketing strategies and logistics optimization.</w:t>
      </w:r>
    </w:p>
    <w:p w:rsidR="00EB2EA3" w:rsidRPr="00EB2EA3" w:rsidRDefault="00EB2EA3" w:rsidP="00EB2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2EA3">
        <w:rPr>
          <w:rFonts w:ascii="Times New Roman" w:eastAsia="Times New Roman" w:hAnsi="Times New Roman" w:cs="Times New Roman"/>
          <w:b/>
          <w:bCs/>
          <w:sz w:val="27"/>
          <w:szCs w:val="27"/>
        </w:rPr>
        <w:t>Quarterly Performance Overview</w:t>
      </w:r>
    </w:p>
    <w:p w:rsidR="00EB2EA3" w:rsidRPr="00EB2EA3" w:rsidRDefault="00EB2EA3" w:rsidP="00EB2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EA3">
        <w:rPr>
          <w:rFonts w:ascii="Times New Roman" w:eastAsia="Times New Roman" w:hAnsi="Times New Roman" w:cs="Times New Roman"/>
          <w:sz w:val="24"/>
          <w:szCs w:val="24"/>
        </w:rPr>
        <w:t xml:space="preserve">Quarterly analysis indicates that </w:t>
      </w:r>
      <w:r w:rsidRPr="00EB2EA3">
        <w:rPr>
          <w:rFonts w:ascii="Times New Roman" w:eastAsia="Times New Roman" w:hAnsi="Times New Roman" w:cs="Times New Roman"/>
          <w:b/>
          <w:bCs/>
          <w:sz w:val="24"/>
          <w:szCs w:val="24"/>
        </w:rPr>
        <w:t>Q1 (₹19.7M) and Q2 (₹19.9M)</w:t>
      </w:r>
      <w:r w:rsidRPr="00EB2EA3">
        <w:rPr>
          <w:rFonts w:ascii="Times New Roman" w:eastAsia="Times New Roman" w:hAnsi="Times New Roman" w:cs="Times New Roman"/>
          <w:sz w:val="24"/>
          <w:szCs w:val="24"/>
        </w:rPr>
        <w:t xml:space="preserve"> outperform </w:t>
      </w:r>
      <w:r w:rsidRPr="00EB2EA3">
        <w:rPr>
          <w:rFonts w:ascii="Times New Roman" w:eastAsia="Times New Roman" w:hAnsi="Times New Roman" w:cs="Times New Roman"/>
          <w:b/>
          <w:bCs/>
          <w:sz w:val="24"/>
          <w:szCs w:val="24"/>
        </w:rPr>
        <w:t>Q3 (₹13.4M)</w:t>
      </w:r>
      <w:r w:rsidRPr="00EB2EA3">
        <w:rPr>
          <w:rFonts w:ascii="Times New Roman" w:eastAsia="Times New Roman" w:hAnsi="Times New Roman" w:cs="Times New Roman"/>
          <w:sz w:val="24"/>
          <w:szCs w:val="24"/>
        </w:rPr>
        <w:t xml:space="preserve">, suggesting a seasonal slowdown during the third quarter. Despite revenue variation, customer ratings remain consistent at </w:t>
      </w:r>
      <w:r w:rsidRPr="00EB2EA3">
        <w:rPr>
          <w:rFonts w:ascii="Times New Roman" w:eastAsia="Times New Roman" w:hAnsi="Times New Roman" w:cs="Times New Roman"/>
          <w:b/>
          <w:bCs/>
          <w:sz w:val="24"/>
          <w:szCs w:val="24"/>
        </w:rPr>
        <w:t>4.3 across all quarters</w:t>
      </w:r>
      <w:r w:rsidRPr="00EB2EA3">
        <w:rPr>
          <w:rFonts w:ascii="Times New Roman" w:eastAsia="Times New Roman" w:hAnsi="Times New Roman" w:cs="Times New Roman"/>
          <w:sz w:val="24"/>
          <w:szCs w:val="24"/>
        </w:rPr>
        <w:t>, reflecting stable service quality throughout the year.</w:t>
      </w:r>
    </w:p>
    <w:p w:rsidR="00EB2EA3" w:rsidRPr="00EB2EA3" w:rsidRDefault="00EB2EA3" w:rsidP="00EB2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2EA3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Impact</w:t>
      </w:r>
    </w:p>
    <w:p w:rsidR="00EB2EA3" w:rsidRPr="00EB2EA3" w:rsidRDefault="00EB2EA3" w:rsidP="00EB2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EA3">
        <w:rPr>
          <w:rFonts w:ascii="Times New Roman" w:eastAsia="Times New Roman" w:hAnsi="Times New Roman" w:cs="Times New Roman"/>
          <w:sz w:val="24"/>
          <w:szCs w:val="24"/>
        </w:rPr>
        <w:t>This dashboard enables stakeholders to:</w:t>
      </w:r>
    </w:p>
    <w:p w:rsidR="00EB2EA3" w:rsidRPr="00EB2EA3" w:rsidRDefault="00EB2EA3" w:rsidP="00EB2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EA3">
        <w:rPr>
          <w:rFonts w:ascii="Times New Roman" w:eastAsia="Times New Roman" w:hAnsi="Times New Roman" w:cs="Times New Roman"/>
          <w:sz w:val="24"/>
          <w:szCs w:val="24"/>
        </w:rPr>
        <w:lastRenderedPageBreak/>
        <w:t>Identify high-performing cities and regions for strategic expansion</w:t>
      </w:r>
    </w:p>
    <w:p w:rsidR="00EB2EA3" w:rsidRPr="00EB2EA3" w:rsidRDefault="00EB2EA3" w:rsidP="00EB2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EA3">
        <w:rPr>
          <w:rFonts w:ascii="Times New Roman" w:eastAsia="Times New Roman" w:hAnsi="Times New Roman" w:cs="Times New Roman"/>
          <w:sz w:val="24"/>
          <w:szCs w:val="24"/>
        </w:rPr>
        <w:t>Optimize underperforming days and quarters using targeted promotions</w:t>
      </w:r>
    </w:p>
    <w:p w:rsidR="00EB2EA3" w:rsidRPr="00EB2EA3" w:rsidRDefault="00EB2EA3" w:rsidP="00EB2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EA3">
        <w:rPr>
          <w:rFonts w:ascii="Times New Roman" w:eastAsia="Times New Roman" w:hAnsi="Times New Roman" w:cs="Times New Roman"/>
          <w:sz w:val="24"/>
          <w:szCs w:val="24"/>
        </w:rPr>
        <w:t>Improve product and category strategy based on demand patterns</w:t>
      </w:r>
    </w:p>
    <w:p w:rsidR="00EB2EA3" w:rsidRPr="00EB2EA3" w:rsidRDefault="00EB2EA3" w:rsidP="00EB2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EA3">
        <w:rPr>
          <w:rFonts w:ascii="Times New Roman" w:eastAsia="Times New Roman" w:hAnsi="Times New Roman" w:cs="Times New Roman"/>
          <w:sz w:val="24"/>
          <w:szCs w:val="24"/>
        </w:rPr>
        <w:t>Monitor key performance indicators for ongoing business evaluation</w:t>
      </w:r>
    </w:p>
    <w:p w:rsidR="00EB2EA3" w:rsidRPr="00EB2EA3" w:rsidRDefault="00EB2EA3" w:rsidP="00EB2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EA3">
        <w:rPr>
          <w:rFonts w:ascii="Times New Roman" w:eastAsia="Times New Roman" w:hAnsi="Times New Roman" w:cs="Times New Roman"/>
          <w:sz w:val="24"/>
          <w:szCs w:val="24"/>
        </w:rPr>
        <w:t>Overall, this project demonstrates effective use of data visualization, KPI analysis, and business storytelling to translate raw data into meaningful insights that support strategic decision-making.</w:t>
      </w:r>
    </w:p>
    <w:p w:rsidR="007C11E1" w:rsidRDefault="007C11E1">
      <w:bookmarkStart w:id="0" w:name="_GoBack"/>
      <w:bookmarkEnd w:id="0"/>
    </w:p>
    <w:sectPr w:rsidR="007C1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C84038"/>
    <w:multiLevelType w:val="multilevel"/>
    <w:tmpl w:val="D710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A3"/>
    <w:rsid w:val="007C11E1"/>
    <w:rsid w:val="00EB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5D5A9A-E268-4D5C-ACA6-25F26A33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2E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B2E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2E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2E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B2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2E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89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2026-02-17T11:05:00Z</dcterms:created>
  <dcterms:modified xsi:type="dcterms:W3CDTF">2026-02-17T11:05:00Z</dcterms:modified>
</cp:coreProperties>
</file>