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0"/>
          <w:szCs w:val="20"/>
        </w:rPr>
        <w:t xml:space="preserve">SIH26099 — PROJECT PLAN</w:t>
      </w:r>
    </w:p>
    <w:p>
      <w:pPr>
        <w:spacing w:after="60"/>
      </w:pPr>
      <w:r>
        <w:rPr>
          <w:b/>
          <w:bCs/>
          <w:color w:val="1F4E5C"/>
          <w:sz w:val="52"/>
          <w:szCs w:val="52"/>
        </w:rPr>
        <w:t xml:space="preserve">SamePart</w:t>
      </w:r>
    </w:p>
    <w:p>
      <w:pPr>
        <w:spacing w:after="40"/>
      </w:pPr>
      <w:r>
        <w:rPr>
          <w:i/>
          <w:iCs/>
          <w:color w:val="595959"/>
          <w:sz w:val="24"/>
          <w:szCs w:val="24"/>
        </w:rPr>
        <w:t xml:space="preserve">Different codes. One material. Evidence included.</w:t>
      </w:r>
    </w:p>
    <w:p>
      <w:pPr>
        <w:spacing w:after="300"/>
      </w:pPr>
      <w:r>
        <w:rPr>
          <w:color w:val="595959"/>
          <w:sz w:val="21"/>
          <w:szCs w:val="21"/>
        </w:rPr>
        <w:t xml:space="preserve">Technical plan and 2-day build roadmap — AI-driven matching of material master data across CPSEs</w:t>
      </w:r>
    </w:p>
    <w:p>
      <w:pPr>
        <w:pBdr>
          <w:bottom w:val="single" w:color="CCCCCC" w:sz="6"/>
        </w:pBdr>
        <w:spacing w:after="200" w:before="100"/>
      </w:pPr>
    </w:p>
    <w:p>
      <w:pPr>
        <w:pStyle w:val="Heading1"/>
        <w:spacing w:after="160" w:before="320"/>
      </w:pPr>
      <w:r>
        <w:rPr>
          <w:b/>
          <w:bCs/>
          <w:color w:val="1F4E5C"/>
          <w:sz w:val="30"/>
          <w:szCs w:val="30"/>
        </w:rPr>
        <w:t xml:space="preserve">1. Overview</w:t>
      </w:r>
    </w:p>
    <w:p>
      <w:pPr>
        <w:spacing w:after="140" w:line="276"/>
      </w:pPr>
      <w:r>
        <w:rPr>
          <w:sz w:val="21"/>
          <w:szCs w:val="21"/>
        </w:rPr>
        <w:t xml:space="preserve">SIH26099 ("AI-Driven Standardization and Harmonization of Material Codes Across CPSEs", Ministry of Petroleum &amp; Natural Gas / CPCL) asks for a system that identifies duplicate, near-duplicate, and functionally equivalent materials across CPSEs that each run their own ERP with inconsistent codes, descriptions, and units for the same physical parts, and proposes a common national material code while preserving traceability to every source code.</w:t>
      </w:r>
    </w:p>
    <w:p>
      <w:pPr>
        <w:spacing w:after="140" w:line="276"/>
      </w:pPr>
      <w:r>
        <w:rPr>
          <w:sz w:val="21"/>
          <w:szCs w:val="21"/>
        </w:rPr>
        <w:t xml:space="preserve">SamePart is our proposed solution. The bet we are making is that the hard, differentiating part of this problem is not the dashboard or the ERP integration — it is building a matching system that can be trusted with an evidence-backed decision, not just a similarity score.</w:t>
      </w:r>
    </w:p>
    <w:p>
      <w:pPr>
        <w:pStyle w:val="Heading2"/>
        <w:spacing w:after="120" w:before="260"/>
      </w:pPr>
      <w:r>
        <w:rPr>
          <w:b/>
          <w:bCs/>
          <w:color w:val="1F4E5C"/>
          <w:sz w:val="24"/>
          <w:szCs w:val="24"/>
        </w:rPr>
        <w:t xml:space="preserve">Core product principle</w:t>
      </w:r>
    </w:p>
    <w:p>
      <w:pPr>
        <w:pBdr>
          <w:left w:val="single" w:color="1F4E5C" w:sz="18" w:space="8"/>
        </w:pBdr>
        <w:spacing w:after="200" w:before="120" w:line="276"/>
        <w:ind w:left="360"/>
      </w:pPr>
      <w:r>
        <w:rPr>
          <w:i/>
          <w:iCs/>
          <w:color w:val="333333"/>
          <w:sz w:val="21"/>
          <w:szCs w:val="21"/>
        </w:rPr>
        <w:t xml:space="preserve">“Looks similar” is a retrieval result. “Same material” is an evidence-backed decision.</w:t>
      </w:r>
    </w:p>
    <w:p>
      <w:pPr>
        <w:spacing w:after="140" w:line="276"/>
      </w:pPr>
      <w:r>
        <w:rPr>
          <w:sz w:val="21"/>
          <w:szCs w:val="21"/>
        </w:rPr>
        <w:t xml:space="preserve">The system must answer three questions for every pair of records it compares:</w:t>
      </w:r>
    </w:p>
    <w:p>
      <w:pPr>
        <w:pStyle w:val="ListParagraph"/>
        <w:numPr>
          <w:ilvl w:val="0"/>
          <w:numId w:val="2"/>
        </w:numPr>
        <w:spacing w:after="80" w:line="276"/>
      </w:pPr>
      <w:r>
        <w:rPr>
          <w:sz w:val="21"/>
          <w:szCs w:val="21"/>
        </w:rPr>
        <w:t xml:space="preserve">Are these actually the same material?</w:t>
      </w:r>
    </w:p>
    <w:p>
      <w:pPr>
        <w:pStyle w:val="ListParagraph"/>
        <w:numPr>
          <w:ilvl w:val="0"/>
          <w:numId w:val="2"/>
        </w:numPr>
        <w:spacing w:after="80" w:line="276"/>
      </w:pPr>
      <w:r>
        <w:rPr>
          <w:sz w:val="21"/>
          <w:szCs w:val="21"/>
        </w:rPr>
        <w:t xml:space="preserve">What evidence supports that?</w:t>
      </w:r>
    </w:p>
    <w:p>
      <w:pPr>
        <w:pStyle w:val="ListParagraph"/>
        <w:numPr>
          <w:ilvl w:val="0"/>
          <w:numId w:val="2"/>
        </w:numPr>
        <w:spacing w:after="80" w:line="276"/>
      </w:pPr>
      <w:r>
        <w:rPr>
          <w:sz w:val="21"/>
          <w:szCs w:val="21"/>
        </w:rPr>
        <w:t xml:space="preserve">What would we need to know before approving the match?</w:t>
      </w:r>
    </w:p>
    <w:p>
      <w:pPr>
        <w:spacing w:after="140" w:line="276"/>
      </w:pPr>
      <w:r>
        <w:rPr>
          <w:sz w:val="21"/>
          <w:szCs w:val="21"/>
        </w:rPr>
        <w:t xml:space="preserve">Every comparison resolves to one of four outcomes, never forced into a binary yes/no:</w:t>
      </w:r>
    </w:p>
    <w:p>
      <w:pPr>
        <w:pStyle w:val="ListParagraph"/>
        <w:numPr>
          <w:ilvl w:val="0"/>
          <w:numId w:val="2"/>
        </w:numPr>
        <w:spacing w:after="80" w:line="276"/>
      </w:pPr>
      <w:r>
        <w:rPr>
          <w:b/>
          <w:bCs/>
          <w:sz w:val="21"/>
          <w:szCs w:val="21"/>
        </w:rPr>
        <w:t xml:space="preserve">Same material — </w:t>
      </w:r>
      <w:r>
        <w:rPr>
          <w:sz w:val="21"/>
          <w:szCs w:val="21"/>
        </w:rPr>
        <w:t xml:space="preserve">records satisfy the same approved identity criteria.</w:t>
      </w:r>
    </w:p>
    <w:p>
      <w:pPr>
        <w:pStyle w:val="ListParagraph"/>
        <w:numPr>
          <w:ilvl w:val="0"/>
          <w:numId w:val="2"/>
        </w:numPr>
        <w:spacing w:after="80" w:line="276"/>
      </w:pPr>
      <w:r>
        <w:rPr>
          <w:b/>
          <w:bCs/>
          <w:sz w:val="21"/>
          <w:szCs w:val="21"/>
        </w:rPr>
        <w:t xml:space="preserve">Possible alternative — </w:t>
      </w:r>
      <w:r>
        <w:rPr>
          <w:sz w:val="21"/>
          <w:szCs w:val="21"/>
        </w:rPr>
        <w:t xml:space="preserve">different materials an engineer might approve as substitutes for a given application; identities stay separate.</w:t>
      </w:r>
    </w:p>
    <w:p>
      <w:pPr>
        <w:pStyle w:val="ListParagraph"/>
        <w:numPr>
          <w:ilvl w:val="0"/>
          <w:numId w:val="2"/>
        </w:numPr>
        <w:spacing w:after="80" w:line="276"/>
      </w:pPr>
      <w:r>
        <w:rPr>
          <w:b/>
          <w:bCs/>
          <w:sz w:val="21"/>
          <w:szCs w:val="21"/>
        </w:rPr>
        <w:t xml:space="preserve">Different material — </w:t>
      </w:r>
      <w:r>
        <w:rPr>
          <w:sz w:val="21"/>
          <w:szCs w:val="21"/>
        </w:rPr>
        <w:t xml:space="preserve">reliable evidence establishes a relevant specification difference.</w:t>
      </w:r>
    </w:p>
    <w:p>
      <w:pPr>
        <w:pStyle w:val="ListParagraph"/>
        <w:numPr>
          <w:ilvl w:val="0"/>
          <w:numId w:val="2"/>
        </w:numPr>
        <w:spacing w:after="80" w:line="276"/>
      </w:pPr>
      <w:r>
        <w:rPr>
          <w:b/>
          <w:bCs/>
          <w:sz w:val="21"/>
          <w:szCs w:val="21"/>
        </w:rPr>
        <w:t xml:space="preserve">Insufficient evidence — </w:t>
      </w:r>
      <w:r>
        <w:rPr>
          <w:sz w:val="21"/>
          <w:szCs w:val="21"/>
        </w:rPr>
        <w:t xml:space="preserve">we cannot safely decide, and the system says so rather than guessing.</w:t>
      </w:r>
    </w:p>
    <w:p>
      <w:pPr>
        <w:pStyle w:val="Heading1"/>
        <w:spacing w:after="160" w:before="320"/>
      </w:pPr>
      <w:r>
        <w:rPr>
          <w:b/>
          <w:bCs/>
          <w:color w:val="1F4E5C"/>
          <w:sz w:val="30"/>
          <w:szCs w:val="30"/>
        </w:rPr>
        <w:t xml:space="preserve">2. Scope for the 2-Day Prototype</w:t>
      </w:r>
    </w:p>
    <w:p>
      <w:pPr>
        <w:spacing w:after="140" w:line="276"/>
      </w:pPr>
      <w:r>
        <w:rPr>
          <w:sz w:val="21"/>
          <w:szCs w:val="21"/>
        </w:rPr>
        <w:t xml:space="preserve">Two days is tight for building and calibrating a trained matching model from scratch, so the default path is an LLM reasoning over structured evidence, gated by deterministic rules. A lighter trained classifier remains a viable alternative or parallel path if time allows — see section 5 for the full comparison. Scope is cut hard everywhere else so the differentiator gets full attention regardless of which path is used.</w:t>
      </w:r>
    </w:p>
    <w:p>
      <w:pPr>
        <w:pStyle w:val="Heading2"/>
        <w:spacing w:after="120" w:before="260"/>
      </w:pPr>
      <w:r>
        <w:rPr>
          <w:b/>
          <w:bCs/>
          <w:color w:val="1F4E5C"/>
          <w:sz w:val="24"/>
          <w:szCs w:val="24"/>
        </w:rPr>
        <w:t xml:space="preserve">In scope</w:t>
      </w:r>
    </w:p>
    <w:p>
      <w:pPr>
        <w:pStyle w:val="ListParagraph"/>
        <w:numPr>
          <w:ilvl w:val="0"/>
          <w:numId w:val="2"/>
        </w:numPr>
        <w:spacing w:after="80" w:line="276"/>
      </w:pPr>
      <w:r>
        <w:rPr>
          <w:sz w:val="21"/>
          <w:szCs w:val="21"/>
        </w:rPr>
        <w:t xml:space="preserve">One material family only: hex bolts (fewest attributes, clearest conflict rules)</w:t>
      </w:r>
    </w:p>
    <w:p>
      <w:pPr>
        <w:pStyle w:val="ListParagraph"/>
        <w:numPr>
          <w:ilvl w:val="0"/>
          <w:numId w:val="2"/>
        </w:numPr>
        <w:spacing w:after="80" w:line="276"/>
      </w:pPr>
      <w:r>
        <w:rPr>
          <w:sz w:val="21"/>
          <w:szCs w:val="21"/>
        </w:rPr>
        <w:t xml:space="preserve">Import from 2–3 simulated source “companies” (CSV/Excel)</w:t>
      </w:r>
    </w:p>
    <w:p>
      <w:pPr>
        <w:pStyle w:val="ListParagraph"/>
        <w:numPr>
          <w:ilvl w:val="0"/>
          <w:numId w:val="2"/>
        </w:numPr>
        <w:spacing w:after="80" w:line="276"/>
      </w:pPr>
      <w:r>
        <w:rPr>
          <w:sz w:val="21"/>
          <w:szCs w:val="21"/>
        </w:rPr>
        <w:t xml:space="preserve">Typed attribute extraction with evidence and provenance per field</w:t>
      </w:r>
    </w:p>
    <w:p>
      <w:pPr>
        <w:pStyle w:val="ListParagraph"/>
        <w:numPr>
          <w:ilvl w:val="0"/>
          <w:numId w:val="2"/>
        </w:numPr>
        <w:spacing w:after="80" w:line="276"/>
      </w:pPr>
      <w:r>
        <w:rPr>
          <w:sz w:val="21"/>
          <w:szCs w:val="21"/>
        </w:rPr>
        <w:t xml:space="preserve">Candidate retrieval via embeddings (in-memory, no vector DB needed at this scale)</w:t>
      </w:r>
    </w:p>
    <w:p>
      <w:pPr>
        <w:pStyle w:val="ListParagraph"/>
        <w:numPr>
          <w:ilvl w:val="0"/>
          <w:numId w:val="2"/>
        </w:numPr>
        <w:spacing w:after="80" w:line="276"/>
      </w:pPr>
      <w:r>
        <w:rPr>
          <w:sz w:val="21"/>
          <w:szCs w:val="21"/>
        </w:rPr>
        <w:t xml:space="preserve">LLM-based pairwise matcher producing the four-way verdict</w:t>
      </w:r>
    </w:p>
    <w:p>
      <w:pPr>
        <w:pStyle w:val="ListParagraph"/>
        <w:numPr>
          <w:ilvl w:val="0"/>
          <w:numId w:val="2"/>
        </w:numPr>
        <w:spacing w:after="80" w:line="276"/>
      </w:pPr>
      <w:r>
        <w:rPr>
          <w:sz w:val="21"/>
          <w:szCs w:val="21"/>
        </w:rPr>
        <w:t xml:space="preserve">Deterministic conflict-gate rules that can override the LLM's verdict</w:t>
      </w:r>
    </w:p>
    <w:p>
      <w:pPr>
        <w:pStyle w:val="ListParagraph"/>
        <w:numPr>
          <w:ilvl w:val="0"/>
          <w:numId w:val="2"/>
        </w:numPr>
        <w:spacing w:after="80" w:line="276"/>
      </w:pPr>
      <w:r>
        <w:rPr>
          <w:sz w:val="21"/>
          <w:szCs w:val="21"/>
        </w:rPr>
        <w:t xml:space="preserve">Review queue: approve / reject / request information</w:t>
      </w:r>
    </w:p>
    <w:p>
      <w:pPr>
        <w:pStyle w:val="ListParagraph"/>
        <w:numPr>
          <w:ilvl w:val="0"/>
          <w:numId w:val="2"/>
        </w:numPr>
        <w:spacing w:after="80" w:line="276"/>
      </w:pPr>
      <w:r>
        <w:rPr>
          <w:sz w:val="21"/>
          <w:szCs w:val="21"/>
        </w:rPr>
        <w:t xml:space="preserve">Canonical ID registry with mapping back to every source code</w:t>
      </w:r>
    </w:p>
    <w:p>
      <w:pPr>
        <w:pStyle w:val="ListParagraph"/>
        <w:numPr>
          <w:ilvl w:val="0"/>
          <w:numId w:val="2"/>
        </w:numPr>
        <w:spacing w:after="80" w:line="276"/>
      </w:pPr>
      <w:r>
        <w:rPr>
          <w:sz w:val="21"/>
          <w:szCs w:val="21"/>
        </w:rPr>
        <w:t xml:space="preserve">“Check before creating material” duplicate-prevention endpoint</w:t>
      </w:r>
    </w:p>
    <w:p>
      <w:pPr>
        <w:pStyle w:val="ListParagraph"/>
        <w:numPr>
          <w:ilvl w:val="0"/>
          <w:numId w:val="2"/>
        </w:numPr>
        <w:spacing w:after="80" w:line="276"/>
      </w:pPr>
      <w:r>
        <w:rPr>
          <w:sz w:val="21"/>
          <w:szCs w:val="21"/>
        </w:rPr>
        <w:t xml:space="preserve">A simple relationship graph as a closing visual (static, pre-computed for the demo cases)</w:t>
      </w:r>
    </w:p>
    <w:p>
      <w:pPr>
        <w:pStyle w:val="Heading2"/>
        <w:spacing w:after="120" w:before="260"/>
      </w:pPr>
      <w:r>
        <w:rPr>
          <w:b/>
          <w:bCs/>
          <w:color w:val="1F4E5C"/>
          <w:sz w:val="24"/>
          <w:szCs w:val="24"/>
        </w:rPr>
        <w:t xml:space="preserve">Explicitly cut for time</w:t>
      </w:r>
    </w:p>
    <w:p>
      <w:pPr>
        <w:pStyle w:val="ListParagraph"/>
        <w:numPr>
          <w:ilvl w:val="0"/>
          <w:numId w:val="2"/>
        </w:numPr>
        <w:spacing w:after="80" w:line="276"/>
      </w:pPr>
      <w:r>
        <w:rPr>
          <w:sz w:val="21"/>
          <w:szCs w:val="21"/>
        </w:rPr>
        <w:t xml:space="preserve">A second material family (e.g. bearings)</w:t>
      </w:r>
    </w:p>
    <w:p>
      <w:pPr>
        <w:pStyle w:val="ListParagraph"/>
        <w:numPr>
          <w:ilvl w:val="0"/>
          <w:numId w:val="2"/>
        </w:numPr>
        <w:spacing w:after="80" w:line="276"/>
      </w:pPr>
      <w:r>
        <w:rPr>
          <w:sz w:val="21"/>
          <w:szCs w:val="21"/>
        </w:rPr>
        <w:t xml:space="preserve">Any deep or fine-tuned transformer matching model — out of reach in two days either way; a small trained classifier (logistic regression / shallow tree) remains an optional path, see section 5</w:t>
      </w:r>
    </w:p>
    <w:p>
      <w:pPr>
        <w:pStyle w:val="ListParagraph"/>
        <w:numPr>
          <w:ilvl w:val="0"/>
          <w:numId w:val="2"/>
        </w:numPr>
        <w:spacing w:after="80" w:line="276"/>
      </w:pPr>
      <w:r>
        <w:rPr>
          <w:sz w:val="21"/>
          <w:szCs w:val="21"/>
        </w:rPr>
        <w:t xml:space="preserve">pgvector / dedicated vector database — an in-memory embedding array is enough at demo scale</w:t>
      </w:r>
    </w:p>
    <w:p>
      <w:pPr>
        <w:pStyle w:val="ListParagraph"/>
        <w:numPr>
          <w:ilvl w:val="0"/>
          <w:numId w:val="2"/>
        </w:numPr>
        <w:spacing w:after="80" w:line="276"/>
      </w:pPr>
      <w:r>
        <w:rPr>
          <w:sz w:val="21"/>
          <w:szCs w:val="21"/>
        </w:rPr>
        <w:t xml:space="preserve">Full Cytoscape relationship explorer — a lightweight graph library, used only for a curated final view</w:t>
      </w:r>
    </w:p>
    <w:p>
      <w:pPr>
        <w:pStyle w:val="ListParagraph"/>
        <w:numPr>
          <w:ilvl w:val="0"/>
          <w:numId w:val="2"/>
        </w:numPr>
        <w:spacing w:after="80" w:line="276"/>
      </w:pPr>
      <w:r>
        <w:rPr>
          <w:sz w:val="21"/>
          <w:szCs w:val="21"/>
        </w:rPr>
        <w:t xml:space="preserve">Ablation studies and a full benchmark dashboard</w:t>
      </w:r>
    </w:p>
    <w:p>
      <w:pPr>
        <w:pStyle w:val="ListParagraph"/>
        <w:numPr>
          <w:ilvl w:val="0"/>
          <w:numId w:val="2"/>
        </w:numPr>
        <w:spacing w:after="80" w:line="276"/>
      </w:pPr>
      <w:r>
        <w:rPr>
          <w:sz w:val="21"/>
          <w:szCs w:val="21"/>
        </w:rPr>
        <w:t xml:space="preserve">Access control, reversible mapping history beyond a simple event log</w:t>
      </w:r>
    </w:p>
    <w:p>
      <w:pPr>
        <w:pStyle w:val="ListParagraph"/>
        <w:numPr>
          <w:ilvl w:val="0"/>
          <w:numId w:val="2"/>
        </w:numPr>
        <w:spacing w:after="80" w:line="276"/>
      </w:pPr>
      <w:r>
        <w:rPr>
          <w:sz w:val="21"/>
          <w:szCs w:val="21"/>
        </w:rPr>
        <w:t xml:space="preserve">Docker Compose / multi-service deployment — everything runs locally for the demo</w:t>
      </w:r>
    </w:p>
    <w:p>
      <w:pPr>
        <w:pStyle w:val="Heading1"/>
        <w:spacing w:after="160" w:before="320"/>
      </w:pPr>
      <w:r>
        <w:rPr>
          <w:b/>
          <w:bCs/>
          <w:color w:val="1F4E5C"/>
          <w:sz w:val="30"/>
          <w:szCs w:val="30"/>
        </w:rPr>
        <w:t xml:space="preserve">3. System Architecture</w:t>
      </w:r>
    </w:p>
    <w:p>
      <w:pPr>
        <w:spacing w:after="140" w:line="276"/>
      </w:pPr>
      <w:r>
        <w:rPr>
          <w:sz w:val="21"/>
          <w:szCs w:val="21"/>
        </w:rPr>
        <w:t xml:space="preserve">End-to-end pipeline:</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20"/>
          <w:szCs w:val="20"/>
        </w:rPr>
        <w:t xml:space="preserve">CSV upload  →  regex pre-parse  →  LLM structured extraction (typed attributes + evidence)</w:t>
      </w:r>
    </w:p>
    <w:p>
      <w:pPr>
        <w:pBdr>
          <w:bottom w:val="single" w:color="CCCCCC" w:sz="4"/>
          <w:left w:val="single" w:color="CCCCCC" w:sz="4"/>
          <w:right w:val="single" w:color="CCCCCC" w:sz="4"/>
        </w:pBdr>
        <w:shd w:fill="F5F5F5" w:val="clear"/>
        <w:spacing w:after="200"/>
      </w:pPr>
      <w:r>
        <w:rPr>
          <w:rFonts w:ascii="Consolas" w:cs="Consolas" w:eastAsia="Consolas" w:hAnsi="Consolas"/>
          <w:sz w:val="20"/>
          <w:szCs w:val="20"/>
        </w:rPr>
        <w:t xml:space="preserve">→  embedding candidate retrieval (top-k similar descriptions)</w:t>
      </w:r>
    </w:p>
    <w:p>
      <w:pPr>
        <w:pBdr>
          <w:bottom w:val="single" w:color="CCCCCC" w:sz="4"/>
          <w:left w:val="single" w:color="CCCCCC" w:sz="4"/>
          <w:right w:val="single" w:color="CCCCCC" w:sz="4"/>
        </w:pBdr>
        <w:shd w:fill="F5F5F5" w:val="clear"/>
        <w:spacing w:after="200"/>
      </w:pPr>
      <w:r>
        <w:rPr>
          <w:rFonts w:ascii="Consolas" w:cs="Consolas" w:eastAsia="Consolas" w:hAnsi="Consolas"/>
          <w:b/>
          <w:bCs/>
          <w:sz w:val="20"/>
          <w:szCs w:val="20"/>
        </w:rPr>
        <w:t xml:space="preserve">→  MATCHING DECISION (choose one path — see section 5):</w:t>
      </w:r>
    </w:p>
    <w:p>
      <w:pPr>
        <w:pBdr>
          <w:bottom w:val="single" w:color="CCCCCC" w:sz="4"/>
          <w:left w:val="single" w:color="CCCCCC" w:sz="4"/>
          <w:right w:val="single" w:color="CCCCCC" w:sz="4"/>
        </w:pBdr>
        <w:shd w:fill="F5F5F5" w:val="clear"/>
        <w:spacing w:after="200"/>
        <w:ind w:left="300"/>
      </w:pPr>
      <w:r>
        <w:rPr>
          <w:rFonts w:ascii="Consolas" w:cs="Consolas" w:eastAsia="Consolas" w:hAnsi="Consolas"/>
          <w:sz w:val="20"/>
          <w:szCs w:val="20"/>
        </w:rPr>
        <w:t xml:space="preserve">Path A — LLM pairwise comparator (structured verdict: same / possible-alt / different / insufficient)</w:t>
      </w:r>
    </w:p>
    <w:p>
      <w:pPr>
        <w:pBdr>
          <w:bottom w:val="single" w:color="CCCCCC" w:sz="4"/>
          <w:left w:val="single" w:color="CCCCCC" w:sz="4"/>
          <w:right w:val="single" w:color="CCCCCC" w:sz="4"/>
        </w:pBdr>
        <w:shd w:fill="F5F5F5" w:val="clear"/>
        <w:spacing w:after="200"/>
        <w:ind w:left="300"/>
      </w:pPr>
      <w:r>
        <w:rPr>
          <w:rFonts w:ascii="Consolas" w:cs="Consolas" w:eastAsia="Consolas" w:hAnsi="Consolas"/>
          <w:sz w:val="20"/>
          <w:szCs w:val="20"/>
        </w:rPr>
        <w:t xml:space="preserve">Path B — trained parity classifier over feature vectors (same verdict set, runs locally, no API call)</w:t>
      </w:r>
    </w:p>
    <w:p>
      <w:pPr>
        <w:pBdr>
          <w:bottom w:val="single" w:color="CCCCCC" w:sz="4"/>
          <w:left w:val="single" w:color="CCCCCC" w:sz="4"/>
          <w:right w:val="single" w:color="CCCCCC" w:sz="4"/>
        </w:pBdr>
        <w:shd w:fill="F5F5F5" w:val="clear"/>
        <w:spacing w:after="200"/>
      </w:pPr>
      <w:r>
        <w:rPr>
          <w:rFonts w:ascii="Consolas" w:cs="Consolas" w:eastAsia="Consolas" w:hAnsi="Consolas"/>
          <w:sz w:val="20"/>
          <w:szCs w:val="20"/>
        </w:rPr>
        <w:t xml:space="preserve">→  deterministic conflict-gate check (can override either path's “same” verdict)</w:t>
      </w:r>
    </w:p>
    <w:p>
      <w:pPr>
        <w:pBdr>
          <w:bottom w:val="single" w:color="CCCCCC" w:sz="4"/>
          <w:left w:val="single" w:color="CCCCCC" w:sz="4"/>
          <w:right w:val="single" w:color="CCCCCC" w:sz="4"/>
        </w:pBdr>
        <w:shd w:fill="F5F5F5" w:val="clear"/>
        <w:spacing w:after="260"/>
      </w:pPr>
      <w:r>
        <w:rPr>
          <w:rFonts w:ascii="Consolas" w:cs="Consolas" w:eastAsia="Consolas" w:hAnsi="Consolas"/>
          <w:sz w:val="20"/>
          <w:szCs w:val="20"/>
        </w:rPr>
        <w:t xml:space="preserve">→  review queue  →  approve / reject  →  canonical ID assignment  →  export</w:t>
      </w:r>
    </w:p>
    <w:p>
      <w:pPr>
        <w:spacing w:after="140" w:line="276"/>
      </w:pPr>
      <w:r>
        <w:rPr>
          <w:sz w:val="21"/>
          <w:szCs w:val="21"/>
        </w:rPr>
        <w:t xml:space="preserve">One LLM call handles extraction in both paths. For the pairwise matching decision itself, the team has two viable options rather than one fixed design — either an LLM comparator or a small trained parity classifier over feature vectors (see section 5 for the full comparison and how to decide between them under time pressure). Whichever path is chosen, the conflict-gate rules sit downstream of it by design and are never an LLM or model call — they are a small, auditable code module that can veto either path's verdict, which is what makes the system's refusals trustworthy rather than just plausible-sounding.</w:t>
      </w:r>
    </w:p>
    <w:p>
      <w:pPr>
        <w:pStyle w:val="Heading1"/>
        <w:spacing w:after="160" w:before="320"/>
      </w:pPr>
      <w:r>
        <w:rPr>
          <w:b/>
          <w:bCs/>
          <w:color w:val="1F4E5C"/>
          <w:sz w:val="30"/>
          <w:szCs w:val="30"/>
        </w:rPr>
        <w:t xml:space="preserve">4. What Needs to Be Built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900"/>
      </w:tblGrid>
      <w:tr>
        <w:trPr>
          <w:tblHeader/>
        </w:trPr>
        <w:tc>
          <w:tcPr>
            <w:tcW w:type="dxa" w:w="1900"/>
            <w:shd w:fill="EAF2F3" w:val="clear"/>
            <w:tcMar>
              <w:top w:type="dxa" w:w="100"/>
              <w:left w:type="dxa" w:w="120"/>
              <w:bottom w:type="dxa" w:w="100"/>
              <w:right w:type="dxa" w:w="120"/>
            </w:tcMar>
          </w:tcPr>
          <w:p>
            <w:r>
              <w:rPr>
                <w:b/>
                <w:bCs/>
                <w:color w:val="1F4E5C"/>
                <w:sz w:val="20"/>
                <w:szCs w:val="20"/>
              </w:rPr>
              <w:t xml:space="preserve">Layer</w:t>
            </w:r>
          </w:p>
        </w:tc>
        <w:tc>
          <w:tcPr>
            <w:tcW w:type="dxa" w:w="4200"/>
            <w:shd w:fill="EAF2F3" w:val="clear"/>
            <w:tcMar>
              <w:top w:type="dxa" w:w="100"/>
              <w:left w:type="dxa" w:w="120"/>
              <w:bottom w:type="dxa" w:w="100"/>
              <w:right w:type="dxa" w:w="120"/>
            </w:tcMar>
          </w:tcPr>
          <w:p>
            <w:r>
              <w:rPr>
                <w:b/>
                <w:bCs/>
                <w:color w:val="1F4E5C"/>
                <w:sz w:val="20"/>
                <w:szCs w:val="20"/>
              </w:rPr>
              <w:t xml:space="preserve">What it does</w:t>
            </w:r>
          </w:p>
        </w:tc>
        <w:tc>
          <w:tcPr>
            <w:tcW w:type="dxa" w:w="3900"/>
            <w:shd w:fill="EAF2F3" w:val="clear"/>
            <w:tcMar>
              <w:top w:type="dxa" w:w="100"/>
              <w:left w:type="dxa" w:w="120"/>
              <w:bottom w:type="dxa" w:w="100"/>
              <w:right w:type="dxa" w:w="120"/>
            </w:tcMar>
          </w:tcPr>
          <w:p>
            <w:r>
              <w:rPr>
                <w:b/>
                <w:bCs/>
                <w:color w:val="1F4E5C"/>
                <w:sz w:val="20"/>
                <w:szCs w:val="20"/>
              </w:rPr>
              <w:t xml:space="preserve">Build notes</w:t>
            </w:r>
          </w:p>
        </w:tc>
      </w:tr>
      <w:tr>
        <w:tc>
          <w:tcPr>
            <w:tcW w:type="dxa" w:w="1900"/>
            <w:tcMar>
              <w:top w:type="dxa" w:w="100"/>
              <w:left w:type="dxa" w:w="120"/>
              <w:bottom w:type="dxa" w:w="100"/>
              <w:right w:type="dxa" w:w="120"/>
            </w:tcMar>
          </w:tcPr>
          <w:p>
            <w:r>
              <w:rPr>
                <w:b w:val="false"/>
                <w:bCs w:val="false"/>
                <w:color w:val="000000"/>
                <w:sz w:val="20"/>
                <w:szCs w:val="20"/>
              </w:rPr>
              <w:t xml:space="preserve">Ingestion</w:t>
            </w:r>
          </w:p>
        </w:tc>
        <w:tc>
          <w:tcPr>
            <w:tcW w:type="dxa" w:w="4200"/>
            <w:tcMar>
              <w:top w:type="dxa" w:w="100"/>
              <w:left w:type="dxa" w:w="120"/>
              <w:bottom w:type="dxa" w:w="100"/>
              <w:right w:type="dxa" w:w="120"/>
            </w:tcMar>
          </w:tcPr>
          <w:p>
            <w:r>
              <w:rPr>
                <w:b w:val="false"/>
                <w:bCs w:val="false"/>
                <w:color w:val="000000"/>
                <w:sz w:val="20"/>
                <w:szCs w:val="20"/>
              </w:rPr>
              <w:t xml:space="preserve">Upload CSV/Excel per source “company”; store raw record with org, source code, row reference</w:t>
            </w:r>
          </w:p>
        </w:tc>
        <w:tc>
          <w:tcPr>
            <w:tcW w:type="dxa" w:w="3900"/>
            <w:tcMar>
              <w:top w:type="dxa" w:w="100"/>
              <w:left w:type="dxa" w:w="120"/>
              <w:bottom w:type="dxa" w:w="100"/>
              <w:right w:type="dxa" w:w="120"/>
            </w:tcMar>
          </w:tcPr>
          <w:p>
            <w:r>
              <w:rPr>
                <w:b w:val="false"/>
                <w:bCs w:val="false"/>
                <w:color w:val="000000"/>
                <w:sz w:val="20"/>
                <w:szCs w:val="20"/>
              </w:rPr>
              <w:t xml:space="preserve">Small per-source column-mapping config, not a hardcoded parser</w:t>
            </w:r>
          </w:p>
        </w:tc>
      </w:tr>
      <w:tr>
        <w:tc>
          <w:tcPr>
            <w:tcW w:type="dxa" w:w="1900"/>
            <w:tcMar>
              <w:top w:type="dxa" w:w="100"/>
              <w:left w:type="dxa" w:w="120"/>
              <w:bottom w:type="dxa" w:w="100"/>
              <w:right w:type="dxa" w:w="120"/>
            </w:tcMar>
          </w:tcPr>
          <w:p>
            <w:r>
              <w:rPr>
                <w:b w:val="false"/>
                <w:bCs w:val="false"/>
                <w:color w:val="000000"/>
                <w:sz w:val="20"/>
                <w:szCs w:val="20"/>
              </w:rPr>
              <w:t xml:space="preserve">Extraction</w:t>
            </w:r>
          </w:p>
        </w:tc>
        <w:tc>
          <w:tcPr>
            <w:tcW w:type="dxa" w:w="4200"/>
            <w:tcMar>
              <w:top w:type="dxa" w:w="100"/>
              <w:left w:type="dxa" w:w="120"/>
              <w:bottom w:type="dxa" w:w="100"/>
              <w:right w:type="dxa" w:w="120"/>
            </w:tcMar>
          </w:tcPr>
          <w:p>
            <w:r>
              <w:rPr>
                <w:b w:val="false"/>
                <w:bCs w:val="false"/>
                <w:color w:val="000000"/>
                <w:sz w:val="20"/>
                <w:szCs w:val="20"/>
              </w:rPr>
              <w:t xml:space="preserve">Regex pass for regular patterns, LLM fallback for the rest, into a typed schema with evidence + status</w:t>
            </w:r>
          </w:p>
        </w:tc>
        <w:tc>
          <w:tcPr>
            <w:tcW w:type="dxa" w:w="3900"/>
            <w:tcMar>
              <w:top w:type="dxa" w:w="100"/>
              <w:left w:type="dxa" w:w="120"/>
              <w:bottom w:type="dxa" w:w="100"/>
              <w:right w:type="dxa" w:w="120"/>
            </w:tcMar>
          </w:tcPr>
          <w:p>
            <w:r>
              <w:rPr>
                <w:b w:val="false"/>
                <w:bCs w:val="false"/>
                <w:color w:val="000000"/>
                <w:sz w:val="20"/>
                <w:szCs w:val="20"/>
              </w:rPr>
              <w:t xml:space="preserve">Prompt allows “unknown” explicitly — this is the highest-leverage instruction in the system</w:t>
            </w:r>
          </w:p>
        </w:tc>
      </w:tr>
      <w:tr>
        <w:tc>
          <w:tcPr>
            <w:tcW w:type="dxa" w:w="1900"/>
            <w:tcMar>
              <w:top w:type="dxa" w:w="100"/>
              <w:left w:type="dxa" w:w="120"/>
              <w:bottom w:type="dxa" w:w="100"/>
              <w:right w:type="dxa" w:w="120"/>
            </w:tcMar>
          </w:tcPr>
          <w:p>
            <w:r>
              <w:rPr>
                <w:b w:val="false"/>
                <w:bCs w:val="false"/>
                <w:color w:val="000000"/>
                <w:sz w:val="20"/>
                <w:szCs w:val="20"/>
              </w:rPr>
              <w:t xml:space="preserve">Retrieval</w:t>
            </w:r>
          </w:p>
        </w:tc>
        <w:tc>
          <w:tcPr>
            <w:tcW w:type="dxa" w:w="4200"/>
            <w:tcMar>
              <w:top w:type="dxa" w:w="100"/>
              <w:left w:type="dxa" w:w="120"/>
              <w:bottom w:type="dxa" w:w="100"/>
              <w:right w:type="dxa" w:w="120"/>
            </w:tcMar>
          </w:tcPr>
          <w:p>
            <w:r>
              <w:rPr>
                <w:b w:val="false"/>
                <w:bCs w:val="false"/>
                <w:color w:val="000000"/>
                <w:sz w:val="20"/>
                <w:szCs w:val="20"/>
              </w:rPr>
              <w:t xml:space="preserve">Embed normalized descriptions, cosine-similarity top-k candidates</w:t>
            </w:r>
          </w:p>
        </w:tc>
        <w:tc>
          <w:tcPr>
            <w:tcW w:type="dxa" w:w="3900"/>
            <w:tcMar>
              <w:top w:type="dxa" w:w="100"/>
              <w:left w:type="dxa" w:w="120"/>
              <w:bottom w:type="dxa" w:w="100"/>
              <w:right w:type="dxa" w:w="120"/>
            </w:tcMar>
          </w:tcPr>
          <w:p>
            <w:r>
              <w:rPr>
                <w:b w:val="false"/>
                <w:bCs w:val="false"/>
                <w:color w:val="000000"/>
                <w:sz w:val="20"/>
                <w:szCs w:val="20"/>
              </w:rPr>
              <w:t xml:space="preserve">In-memory numpy array is enough at this dataset size — no vector DB needed</w:t>
            </w:r>
          </w:p>
        </w:tc>
      </w:tr>
      <w:tr>
        <w:tc>
          <w:tcPr>
            <w:tcW w:type="dxa" w:w="1900"/>
            <w:tcMar>
              <w:top w:type="dxa" w:w="100"/>
              <w:left w:type="dxa" w:w="120"/>
              <w:bottom w:type="dxa" w:w="100"/>
              <w:right w:type="dxa" w:w="120"/>
            </w:tcMar>
          </w:tcPr>
          <w:p>
            <w:r>
              <w:rPr>
                <w:b w:val="false"/>
                <w:bCs w:val="false"/>
                <w:color w:val="000000"/>
                <w:sz w:val="20"/>
                <w:szCs w:val="20"/>
              </w:rPr>
              <w:t xml:space="preserve">Matching</w:t>
            </w:r>
          </w:p>
        </w:tc>
        <w:tc>
          <w:tcPr>
            <w:tcW w:type="dxa" w:w="4200"/>
            <w:tcMar>
              <w:top w:type="dxa" w:w="100"/>
              <w:left w:type="dxa" w:w="120"/>
              <w:bottom w:type="dxa" w:w="100"/>
              <w:right w:type="dxa" w:w="120"/>
            </w:tcMar>
          </w:tcPr>
          <w:p>
            <w:r>
              <w:rPr>
                <w:b w:val="false"/>
                <w:bCs w:val="false"/>
                <w:color w:val="000000"/>
                <w:sz w:val="20"/>
                <w:szCs w:val="20"/>
              </w:rPr>
              <w:t xml:space="preserve">LLM pairwise comparator OR trained parity classifier over structured attributes + evidence, forced 4-way verdict (see section 5)</w:t>
            </w:r>
          </w:p>
        </w:tc>
        <w:tc>
          <w:tcPr>
            <w:tcW w:type="dxa" w:w="3900"/>
            <w:tcMar>
              <w:top w:type="dxa" w:w="100"/>
              <w:left w:type="dxa" w:w="120"/>
              <w:bottom w:type="dxa" w:w="100"/>
              <w:right w:type="dxa" w:w="120"/>
            </w:tcMar>
          </w:tcPr>
          <w:p>
            <w:r>
              <w:rPr>
                <w:b w:val="false"/>
                <w:bCs w:val="false"/>
                <w:color w:val="000000"/>
                <w:sz w:val="20"/>
                <w:szCs w:val="20"/>
              </w:rPr>
              <w:t xml:space="preserve">Input is typed attributes, not raw text — this is what makes it evidence-backed either way</w:t>
            </w:r>
          </w:p>
        </w:tc>
      </w:tr>
      <w:tr>
        <w:tc>
          <w:tcPr>
            <w:tcW w:type="dxa" w:w="1900"/>
            <w:tcMar>
              <w:top w:type="dxa" w:w="100"/>
              <w:left w:type="dxa" w:w="120"/>
              <w:bottom w:type="dxa" w:w="100"/>
              <w:right w:type="dxa" w:w="120"/>
            </w:tcMar>
          </w:tcPr>
          <w:p>
            <w:r>
              <w:rPr>
                <w:b w:val="false"/>
                <w:bCs w:val="false"/>
                <w:color w:val="000000"/>
                <w:sz w:val="20"/>
                <w:szCs w:val="20"/>
              </w:rPr>
              <w:t xml:space="preserve">Conflict gates</w:t>
            </w:r>
          </w:p>
        </w:tc>
        <w:tc>
          <w:tcPr>
            <w:tcW w:type="dxa" w:w="4200"/>
            <w:tcMar>
              <w:top w:type="dxa" w:w="100"/>
              <w:left w:type="dxa" w:w="120"/>
              <w:bottom w:type="dxa" w:w="100"/>
              <w:right w:type="dxa" w:w="120"/>
            </w:tcMar>
          </w:tcPr>
          <w:p>
            <w:r>
              <w:rPr>
                <w:b w:val="false"/>
                <w:bCs w:val="false"/>
                <w:color w:val="000000"/>
                <w:sz w:val="20"/>
                <w:szCs w:val="20"/>
              </w:rPr>
              <w:t xml:space="preserve">Deterministic rule table per family; overrides the LLM verdict on critical-attribute conflicts</w:t>
            </w:r>
          </w:p>
        </w:tc>
        <w:tc>
          <w:tcPr>
            <w:tcW w:type="dxa" w:w="3900"/>
            <w:tcMar>
              <w:top w:type="dxa" w:w="100"/>
              <w:left w:type="dxa" w:w="120"/>
              <w:bottom w:type="dxa" w:w="100"/>
              <w:right w:type="dxa" w:w="120"/>
            </w:tcMar>
          </w:tcPr>
          <w:p>
            <w:r>
              <w:rPr>
                <w:b w:val="false"/>
                <w:bCs w:val="false"/>
                <w:color w:val="000000"/>
                <w:sz w:val="20"/>
                <w:szCs w:val="20"/>
              </w:rPr>
              <w:t xml:space="preserve">~20 lines of code; kept separate and auditable, not folded into a prompt</w:t>
            </w:r>
          </w:p>
        </w:tc>
      </w:tr>
      <w:tr>
        <w:tc>
          <w:tcPr>
            <w:tcW w:type="dxa" w:w="1900"/>
            <w:tcMar>
              <w:top w:type="dxa" w:w="100"/>
              <w:left w:type="dxa" w:w="120"/>
              <w:bottom w:type="dxa" w:w="100"/>
              <w:right w:type="dxa" w:w="120"/>
            </w:tcMar>
          </w:tcPr>
          <w:p>
            <w:r>
              <w:rPr>
                <w:b w:val="false"/>
                <w:bCs w:val="false"/>
                <w:color w:val="000000"/>
                <w:sz w:val="20"/>
                <w:szCs w:val="20"/>
              </w:rPr>
              <w:t xml:space="preserve">Cluster safety</w:t>
            </w:r>
          </w:p>
        </w:tc>
        <w:tc>
          <w:tcPr>
            <w:tcW w:type="dxa" w:w="4200"/>
            <w:tcMar>
              <w:top w:type="dxa" w:w="100"/>
              <w:left w:type="dxa" w:w="120"/>
              <w:bottom w:type="dxa" w:w="100"/>
              <w:right w:type="dxa" w:w="120"/>
            </w:tcMar>
          </w:tcPr>
          <w:p>
            <w:r>
              <w:rPr>
                <w:b w:val="false"/>
                <w:bCs w:val="false"/>
                <w:color w:val="000000"/>
                <w:sz w:val="20"/>
                <w:szCs w:val="20"/>
              </w:rPr>
              <w:t xml:space="preserve">Reject adding a record to an identity cluster if it conflicts with an already-accepted attribute</w:t>
            </w:r>
          </w:p>
        </w:tc>
        <w:tc>
          <w:tcPr>
            <w:tcW w:type="dxa" w:w="3900"/>
            <w:tcMar>
              <w:top w:type="dxa" w:w="100"/>
              <w:left w:type="dxa" w:w="120"/>
              <w:bottom w:type="dxa" w:w="100"/>
              <w:right w:type="dxa" w:w="120"/>
            </w:tcMar>
          </w:tcPr>
          <w:p>
            <w:r>
              <w:rPr>
                <w:b w:val="false"/>
                <w:bCs w:val="false"/>
                <w:color w:val="000000"/>
                <w:sz w:val="20"/>
                <w:szCs w:val="20"/>
              </w:rPr>
              <w:t xml:space="preserve">Plain relational tables: candidate_match, approved_mapping, known_conflict, possible_alternative</w:t>
            </w:r>
          </w:p>
        </w:tc>
      </w:tr>
      <w:tr>
        <w:tc>
          <w:tcPr>
            <w:tcW w:type="dxa" w:w="1900"/>
            <w:tcMar>
              <w:top w:type="dxa" w:w="100"/>
              <w:left w:type="dxa" w:w="120"/>
              <w:bottom w:type="dxa" w:w="100"/>
              <w:right w:type="dxa" w:w="120"/>
            </w:tcMar>
          </w:tcPr>
          <w:p>
            <w:r>
              <w:rPr>
                <w:b w:val="false"/>
                <w:bCs w:val="false"/>
                <w:color w:val="000000"/>
                <w:sz w:val="20"/>
                <w:szCs w:val="20"/>
              </w:rPr>
              <w:t xml:space="preserve">Canonical registry</w:t>
            </w:r>
          </w:p>
        </w:tc>
        <w:tc>
          <w:tcPr>
            <w:tcW w:type="dxa" w:w="4200"/>
            <w:tcMar>
              <w:top w:type="dxa" w:w="100"/>
              <w:left w:type="dxa" w:w="120"/>
              <w:bottom w:type="dxa" w:w="100"/>
              <w:right w:type="dxa" w:w="120"/>
            </w:tcMar>
          </w:tcPr>
          <w:p>
            <w:r>
              <w:rPr>
                <w:b w:val="false"/>
                <w:bCs w:val="false"/>
                <w:color w:val="000000"/>
                <w:sz w:val="20"/>
                <w:szCs w:val="20"/>
              </w:rPr>
              <w:t xml:space="preserve">Assigns a stable ID (e.g. SMP-000417), maps back to every source code</w:t>
            </w:r>
          </w:p>
        </w:tc>
        <w:tc>
          <w:tcPr>
            <w:tcW w:type="dxa" w:w="3900"/>
            <w:tcMar>
              <w:top w:type="dxa" w:w="100"/>
              <w:left w:type="dxa" w:w="120"/>
              <w:bottom w:type="dxa" w:w="100"/>
              <w:right w:type="dxa" w:w="120"/>
            </w:tcMar>
          </w:tcPr>
          <w:p>
            <w:r>
              <w:rPr>
                <w:b w:val="false"/>
                <w:bCs w:val="false"/>
                <w:color w:val="000000"/>
                <w:sz w:val="20"/>
                <w:szCs w:val="20"/>
              </w:rPr>
              <w:t xml:space="preserve">ID from a simple registry/sequence, never invented by an LLM</w:t>
            </w:r>
          </w:p>
        </w:tc>
      </w:tr>
      <w:tr>
        <w:tc>
          <w:tcPr>
            <w:tcW w:type="dxa" w:w="1900"/>
            <w:tcMar>
              <w:top w:type="dxa" w:w="100"/>
              <w:left w:type="dxa" w:w="120"/>
              <w:bottom w:type="dxa" w:w="100"/>
              <w:right w:type="dxa" w:w="120"/>
            </w:tcMar>
          </w:tcPr>
          <w:p>
            <w:r>
              <w:rPr>
                <w:b w:val="false"/>
                <w:bCs w:val="false"/>
                <w:color w:val="000000"/>
                <w:sz w:val="20"/>
                <w:szCs w:val="20"/>
              </w:rPr>
              <w:t xml:space="preserve">Review workflow</w:t>
            </w:r>
          </w:p>
        </w:tc>
        <w:tc>
          <w:tcPr>
            <w:tcW w:type="dxa" w:w="4200"/>
            <w:tcMar>
              <w:top w:type="dxa" w:w="100"/>
              <w:left w:type="dxa" w:w="120"/>
              <w:bottom w:type="dxa" w:w="100"/>
              <w:right w:type="dxa" w:w="120"/>
            </w:tcMar>
          </w:tcPr>
          <w:p>
            <w:r>
              <w:rPr>
                <w:b w:val="false"/>
                <w:bCs w:val="false"/>
                <w:color w:val="000000"/>
                <w:sz w:val="20"/>
                <w:szCs w:val="20"/>
              </w:rPr>
              <w:t xml:space="preserve">Queue, comparison detail, approve / reject / request-info, event log</w:t>
            </w:r>
          </w:p>
        </w:tc>
        <w:tc>
          <w:tcPr>
            <w:tcW w:type="dxa" w:w="3900"/>
            <w:tcMar>
              <w:top w:type="dxa" w:w="100"/>
              <w:left w:type="dxa" w:w="120"/>
              <w:bottom w:type="dxa" w:w="100"/>
              <w:right w:type="dxa" w:w="120"/>
            </w:tcMar>
          </w:tcPr>
          <w:p>
            <w:r>
              <w:rPr>
                <w:b w:val="false"/>
                <w:bCs w:val="false"/>
                <w:color w:val="000000"/>
                <w:sz w:val="20"/>
                <w:szCs w:val="20"/>
              </w:rPr>
              <w:t xml:space="preserve">FastAPI endpoints; log evidence, reviewer, timestamp on every decision</w:t>
            </w:r>
          </w:p>
        </w:tc>
      </w:tr>
      <w:tr>
        <w:tc>
          <w:tcPr>
            <w:tcW w:type="dxa" w:w="1900"/>
            <w:tcMar>
              <w:top w:type="dxa" w:w="100"/>
              <w:left w:type="dxa" w:w="120"/>
              <w:bottom w:type="dxa" w:w="100"/>
              <w:right w:type="dxa" w:w="120"/>
            </w:tcMar>
          </w:tcPr>
          <w:p>
            <w:r>
              <w:rPr>
                <w:b w:val="false"/>
                <w:bCs w:val="false"/>
                <w:color w:val="000000"/>
                <w:sz w:val="20"/>
                <w:szCs w:val="20"/>
              </w:rPr>
              <w:t xml:space="preserve">Duplicate prevention</w:t>
            </w:r>
          </w:p>
        </w:tc>
        <w:tc>
          <w:tcPr>
            <w:tcW w:type="dxa" w:w="4200"/>
            <w:tcMar>
              <w:top w:type="dxa" w:w="100"/>
              <w:left w:type="dxa" w:w="120"/>
              <w:bottom w:type="dxa" w:w="100"/>
              <w:right w:type="dxa" w:w="120"/>
            </w:tcMar>
          </w:tcPr>
          <w:p>
            <w:r>
              <w:rPr>
                <w:b w:val="false"/>
                <w:bCs w:val="false"/>
                <w:color w:val="000000"/>
                <w:sz w:val="20"/>
                <w:szCs w:val="20"/>
              </w:rPr>
              <w:t xml:space="preserve">“Check before creating material” — runs the same comparator against a new entry vs. the full set</w:t>
            </w:r>
          </w:p>
        </w:tc>
        <w:tc>
          <w:tcPr>
            <w:tcW w:type="dxa" w:w="3900"/>
            <w:tcMar>
              <w:top w:type="dxa" w:w="100"/>
              <w:left w:type="dxa" w:w="120"/>
              <w:bottom w:type="dxa" w:w="100"/>
              <w:right w:type="dxa" w:w="120"/>
            </w:tcMar>
          </w:tcPr>
          <w:p>
            <w:r>
              <w:rPr>
                <w:b w:val="false"/>
                <w:bCs w:val="false"/>
                <w:color w:val="000000"/>
                <w:sz w:val="20"/>
                <w:szCs w:val="20"/>
              </w:rPr>
              <w:t xml:space="preserve">Reuses the matching pipeline; no new logic needed</w:t>
            </w:r>
          </w:p>
        </w:tc>
      </w:tr>
      <w:tr>
        <w:tc>
          <w:tcPr>
            <w:tcW w:type="dxa" w:w="1900"/>
            <w:tcMar>
              <w:top w:type="dxa" w:w="100"/>
              <w:left w:type="dxa" w:w="120"/>
              <w:bottom w:type="dxa" w:w="100"/>
              <w:right w:type="dxa" w:w="120"/>
            </w:tcMar>
          </w:tcPr>
          <w:p>
            <w:r>
              <w:rPr>
                <w:b w:val="false"/>
                <w:bCs w:val="false"/>
                <w:color w:val="000000"/>
                <w:sz w:val="20"/>
                <w:szCs w:val="20"/>
              </w:rPr>
              <w:t xml:space="preserve">Frontend</w:t>
            </w:r>
          </w:p>
        </w:tc>
        <w:tc>
          <w:tcPr>
            <w:tcW w:type="dxa" w:w="4200"/>
            <w:tcMar>
              <w:top w:type="dxa" w:w="100"/>
              <w:left w:type="dxa" w:w="120"/>
              <w:bottom w:type="dxa" w:w="100"/>
              <w:right w:type="dxa" w:w="120"/>
            </w:tcMar>
          </w:tcPr>
          <w:p>
            <w:r>
              <w:rPr>
                <w:b w:val="false"/>
                <w:bCs w:val="false"/>
                <w:color w:val="000000"/>
                <w:sz w:val="20"/>
                <w:szCs w:val="20"/>
              </w:rPr>
              <w:t xml:space="preserve">Reconciliation desk (queue / comparison / evidence+actions) + a curated closing graph view</w:t>
            </w:r>
          </w:p>
        </w:tc>
        <w:tc>
          <w:tcPr>
            <w:tcW w:type="dxa" w:w="3900"/>
            <w:tcMar>
              <w:top w:type="dxa" w:w="100"/>
              <w:left w:type="dxa" w:w="120"/>
              <w:bottom w:type="dxa" w:w="100"/>
              <w:right w:type="dxa" w:w="120"/>
            </w:tcMar>
          </w:tcPr>
          <w:p>
            <w:r>
              <w:rPr>
                <w:b w:val="false"/>
                <w:bCs w:val="false"/>
                <w:color w:val="000000"/>
                <w:sz w:val="20"/>
                <w:szCs w:val="20"/>
              </w:rPr>
              <w:t xml:space="preserve">List view is the functional interface; graph view is a closing visual only</w:t>
            </w:r>
          </w:p>
        </w:tc>
      </w:tr>
    </w:tbl>
    <w:p>
      <w:pPr>
        <w:pStyle w:val="Heading1"/>
        <w:spacing w:after="160" w:before="320"/>
      </w:pPr>
      <w:r>
        <w:rPr>
          <w:b/>
          <w:bCs/>
          <w:color w:val="1F4E5C"/>
          <w:sz w:val="30"/>
          <w:szCs w:val="30"/>
        </w:rPr>
        <w:t xml:space="preserve">5. The ML Side, in Detail</w:t>
      </w:r>
    </w:p>
    <w:p>
      <w:pPr>
        <w:spacing w:after="140" w:line="276"/>
      </w:pPr>
      <w:r>
        <w:rPr>
          <w:sz w:val="21"/>
          <w:szCs w:val="21"/>
        </w:rPr>
        <w:t xml:space="preserve">The two-week version of this plan called for a trained feature-based classifier with a calibrated confidence score. In two days there usually isn't time to build a hard-negative labeled dataset, train that classifier, and calibrate it properly — so the default matching path delegates the decision to an LLM reasoning over structured evidence, with deterministic rules kept in place as a hard override. A lighter version of the trained classifier is still achievable quickly, since the synthetic dataset comes with labels for free and most of its features are already needed for the conflict gates — see “Matching decision — two viable paths” below for when it's worth building. Either way, the model or LLM never sees raw description-to-description similarity alone — it sees typed, evidenced attributes, which is what keeps the decision auditable.</w:t>
      </w:r>
    </w:p>
    <w:p>
      <w:pPr>
        <w:pStyle w:val="Heading2"/>
        <w:spacing w:after="120" w:before="260"/>
      </w:pPr>
      <w:r>
        <w:rPr>
          <w:b/>
          <w:bCs/>
          <w:color w:val="1F4E5C"/>
          <w:sz w:val="24"/>
          <w:szCs w:val="24"/>
        </w:rPr>
        <w:t xml:space="preserve">Extraction</w:t>
      </w:r>
    </w:p>
    <w:p>
      <w:pPr>
        <w:pStyle w:val="ListParagraph"/>
        <w:numPr>
          <w:ilvl w:val="0"/>
          <w:numId w:val="2"/>
        </w:numPr>
        <w:spacing w:after="80" w:line="276"/>
      </w:pPr>
      <w:r>
        <w:rPr>
          <w:sz w:val="21"/>
          <w:szCs w:val="21"/>
        </w:rPr>
        <w:t xml:space="preserve">Regex first for predictable patterns (e.g. M8X40, A2-70) — cheap and instant</w:t>
      </w:r>
    </w:p>
    <w:p>
      <w:pPr>
        <w:pStyle w:val="ListParagraph"/>
        <w:numPr>
          <w:ilvl w:val="0"/>
          <w:numId w:val="2"/>
        </w:numPr>
        <w:spacing w:after="80" w:line="276"/>
      </w:pPr>
      <w:r>
        <w:rPr>
          <w:sz w:val="21"/>
          <w:szCs w:val="21"/>
        </w:rPr>
        <w:t xml:space="preserve">Whatever regex can't confidently fill goes to an LLM call with a strict JSON schema and 2–3 few-shot examples</w:t>
      </w:r>
    </w:p>
    <w:p>
      <w:pPr>
        <w:pStyle w:val="ListParagraph"/>
        <w:numPr>
          <w:ilvl w:val="0"/>
          <w:numId w:val="2"/>
        </w:numPr>
        <w:spacing w:after="80" w:line="276"/>
      </w:pPr>
      <w:r>
        <w:rPr>
          <w:sz w:val="21"/>
          <w:szCs w:val="21"/>
        </w:rPr>
        <w:t xml:space="preserve">The prompt explicitly instructs the model to output “unknown” rather than guess a missing attribute</w:t>
      </w:r>
    </w:p>
    <w:p>
      <w:pPr>
        <w:pStyle w:val="Heading2"/>
        <w:spacing w:after="120" w:before="260"/>
      </w:pPr>
      <w:r>
        <w:rPr>
          <w:b/>
          <w:bCs/>
          <w:color w:val="1F4E5C"/>
          <w:sz w:val="24"/>
          <w:szCs w:val="24"/>
        </w:rPr>
        <w:t xml:space="preserve">Candidate retrieval</w:t>
      </w:r>
    </w:p>
    <w:p>
      <w:pPr>
        <w:pStyle w:val="ListParagraph"/>
        <w:numPr>
          <w:ilvl w:val="0"/>
          <w:numId w:val="2"/>
        </w:numPr>
        <w:spacing w:after="80" w:line="276"/>
      </w:pPr>
      <w:r>
        <w:rPr>
          <w:sz w:val="21"/>
          <w:szCs w:val="21"/>
        </w:rPr>
        <w:t xml:space="preserve">Off-the-shelf embedding model over normalized descriptions</w:t>
      </w:r>
    </w:p>
    <w:p>
      <w:pPr>
        <w:pStyle w:val="ListParagraph"/>
        <w:numPr>
          <w:ilvl w:val="0"/>
          <w:numId w:val="2"/>
        </w:numPr>
        <w:spacing w:after="80" w:line="276"/>
      </w:pPr>
      <w:r>
        <w:rPr>
          <w:sz w:val="21"/>
          <w:szCs w:val="21"/>
        </w:rPr>
        <w:t xml:space="preserve">In-memory cosine similarity, top-k (~10) neighbors per record — no vector database needed at this scale</w:t>
      </w:r>
    </w:p>
    <w:p>
      <w:pPr>
        <w:pStyle w:val="ListParagraph"/>
        <w:numPr>
          <w:ilvl w:val="0"/>
          <w:numId w:val="2"/>
        </w:numPr>
        <w:spacing w:after="80" w:line="276"/>
      </w:pPr>
      <w:r>
        <w:rPr>
          <w:sz w:val="21"/>
          <w:szCs w:val="21"/>
        </w:rPr>
        <w:t xml:space="preserve">Embeddings are used only for retrieval, never as the basis of the final match decision</w:t>
      </w:r>
    </w:p>
    <w:p>
      <w:pPr>
        <w:pStyle w:val="Heading2"/>
        <w:spacing w:after="120" w:before="260"/>
      </w:pPr>
      <w:r>
        <w:rPr>
          <w:b/>
          <w:bCs/>
          <w:color w:val="1F4E5C"/>
          <w:sz w:val="24"/>
          <w:szCs w:val="24"/>
        </w:rPr>
        <w:t xml:space="preserve">Matching decision — two viable paths</w:t>
      </w:r>
    </w:p>
    <w:p>
      <w:pPr>
        <w:spacing w:after="140" w:line="276"/>
      </w:pPr>
      <w:r>
        <w:rPr>
          <w:sz w:val="21"/>
          <w:szCs w:val="21"/>
        </w:rPr>
        <w:t xml:space="preserve">The pairwise matching step is the one place in the pipeline where the team has a genuine choice, not a fixed design. Both paths take the same input (both records' typed attributes with evidence) and produce the same forced structured verdict — same / possible_alternative / different / insufficient_evidence, plus which attribute drove the call. They differ in how that verdict is produced.</w:t>
      </w:r>
    </w:p>
    <w:p>
      <w:pPr>
        <w:pStyle w:val="ListParagraph"/>
        <w:numPr>
          <w:ilvl w:val="0"/>
          <w:numId w:val="2"/>
        </w:numPr>
        <w:spacing w:after="80" w:line="276"/>
      </w:pPr>
      <w:r>
        <w:rPr>
          <w:b/>
          <w:bCs/>
          <w:sz w:val="21"/>
          <w:szCs w:val="21"/>
        </w:rPr>
        <w:t xml:space="preserve">Path A — LLM pairwise comparator: </w:t>
      </w:r>
      <w:r>
        <w:rPr>
          <w:sz w:val="21"/>
          <w:szCs w:val="21"/>
        </w:rPr>
        <w:t xml:space="preserve">one LLM API call per candidate pair, reasoning over the structured attributes directly. Faster to stand up, handles phrasing the team hasn't anticipated, but runs repeatedly (once per pair) at API latency and cost, and is easy to dismiss as “just a wrapper” if it isn't paired with measured accuracy.</w:t>
      </w:r>
    </w:p>
    <w:p>
      <w:pPr>
        <w:pStyle w:val="ListParagraph"/>
        <w:numPr>
          <w:ilvl w:val="0"/>
          <w:numId w:val="2"/>
        </w:numPr>
        <w:spacing w:after="80" w:line="276"/>
      </w:pPr>
      <w:r>
        <w:rPr>
          <w:b/>
          <w:bCs/>
          <w:sz w:val="21"/>
          <w:szCs w:val="21"/>
        </w:rPr>
        <w:t xml:space="preserve">Path B — trained parity classifier: </w:t>
      </w:r>
      <w:r>
        <w:rPr>
          <w:sz w:val="21"/>
          <w:szCs w:val="21"/>
        </w:rPr>
        <w:t xml:space="preserve">each pair is converted to a small feature vector (embedding similarity, per-attribute agreement flags, completeness, token overlap — mostly features the conflict gates already need), and a small model (logistic regression or a shallow gradient-boosted tree) trained on the labeled synthetic pairs outputs the verdict. Runs instantly and locally with no API call, gives real feature-importance for the “why not a match” explanation, and is a genuinely trained-and-evaluated artifact — but only knows the patterns present in the synthetic training data, and costs upfront time to build the labeled pairs and train it.</w:t>
      </w:r>
    </w:p>
    <w:p>
      <w:pPr>
        <w:pStyle w:val="Heading2"/>
        <w:spacing w:after="120" w:before="260"/>
      </w:pPr>
      <w:r>
        <w:rPr>
          <w:b/>
          <w:bCs/>
          <w:color w:val="1F4E5C"/>
          <w:sz w:val="24"/>
          <w:szCs w:val="24"/>
        </w:rPr>
        <w:t xml:space="preserve">How to decide between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EAF2F3" w:val="clear"/>
            <w:tcMar>
              <w:top w:type="dxa" w:w="100"/>
              <w:left w:type="dxa" w:w="120"/>
              <w:bottom w:type="dxa" w:w="100"/>
              <w:right w:type="dxa" w:w="120"/>
            </w:tcMar>
          </w:tcPr>
          <w:p>
            <w:r>
              <w:rPr>
                <w:b/>
                <w:bCs/>
                <w:color w:val="1F4E5C"/>
                <w:sz w:val="20"/>
                <w:szCs w:val="20"/>
              </w:rPr>
              <w:t xml:space="preserve">Situation</w:t>
            </w:r>
          </w:p>
        </w:tc>
        <w:tc>
          <w:tcPr>
            <w:tcW w:type="dxa" w:w="5200"/>
            <w:shd w:fill="EAF2F3" w:val="clear"/>
            <w:tcMar>
              <w:top w:type="dxa" w:w="100"/>
              <w:left w:type="dxa" w:w="120"/>
              <w:bottom w:type="dxa" w:w="100"/>
              <w:right w:type="dxa" w:w="120"/>
            </w:tcMar>
          </w:tcPr>
          <w:p>
            <w:r>
              <w:rPr>
                <w:b/>
                <w:bCs/>
                <w:color w:val="1F4E5C"/>
                <w:sz w:val="20"/>
                <w:szCs w:val="20"/>
              </w:rPr>
              <w:t xml:space="preserve">Recommended path</w:t>
            </w:r>
          </w:p>
        </w:tc>
      </w:tr>
      <w:tr>
        <w:tc>
          <w:tcPr>
            <w:tcW w:type="dxa" w:w="4300"/>
            <w:tcMar>
              <w:top w:type="dxa" w:w="100"/>
              <w:left w:type="dxa" w:w="120"/>
              <w:bottom w:type="dxa" w:w="100"/>
              <w:right w:type="dxa" w:w="120"/>
            </w:tcMar>
          </w:tcPr>
          <w:p>
            <w:r>
              <w:rPr>
                <w:b w:val="false"/>
                <w:bCs w:val="false"/>
                <w:color w:val="000000"/>
                <w:sz w:val="20"/>
                <w:szCs w:val="20"/>
              </w:rPr>
              <w:t xml:space="preserve">Day 2 morning is on schedule and there's spare time</w:t>
            </w:r>
          </w:p>
        </w:tc>
        <w:tc>
          <w:tcPr>
            <w:tcW w:type="dxa" w:w="5200"/>
            <w:tcMar>
              <w:top w:type="dxa" w:w="100"/>
              <w:left w:type="dxa" w:w="120"/>
              <w:bottom w:type="dxa" w:w="100"/>
              <w:right w:type="dxa" w:w="120"/>
            </w:tcMar>
          </w:tcPr>
          <w:p>
            <w:r>
              <w:rPr>
                <w:b w:val="false"/>
                <w:bCs w:val="false"/>
                <w:color w:val="000000"/>
                <w:sz w:val="20"/>
                <w:szCs w:val="20"/>
              </w:rPr>
              <w:t xml:space="preserve">Build Path B; run both and compare, since the feature groundwork already exists for the conflict gates</w:t>
            </w:r>
          </w:p>
        </w:tc>
      </w:tr>
      <w:tr>
        <w:tc>
          <w:tcPr>
            <w:tcW w:type="dxa" w:w="4300"/>
            <w:tcMar>
              <w:top w:type="dxa" w:w="100"/>
              <w:left w:type="dxa" w:w="120"/>
              <w:bottom w:type="dxa" w:w="100"/>
              <w:right w:type="dxa" w:w="120"/>
            </w:tcMar>
          </w:tcPr>
          <w:p>
            <w:r>
              <w:rPr>
                <w:b w:val="false"/>
                <w:bCs w:val="false"/>
                <w:color w:val="000000"/>
                <w:sz w:val="20"/>
                <w:szCs w:val="20"/>
              </w:rPr>
              <w:t xml:space="preserve">Running behind schedule at all</w:t>
            </w:r>
          </w:p>
        </w:tc>
        <w:tc>
          <w:tcPr>
            <w:tcW w:type="dxa" w:w="5200"/>
            <w:tcMar>
              <w:top w:type="dxa" w:w="100"/>
              <w:left w:type="dxa" w:w="120"/>
              <w:bottom w:type="dxa" w:w="100"/>
              <w:right w:type="dxa" w:w="120"/>
            </w:tcMar>
          </w:tcPr>
          <w:p>
            <w:r>
              <w:rPr>
                <w:b w:val="false"/>
                <w:bCs w:val="false"/>
                <w:color w:val="000000"/>
                <w:sz w:val="20"/>
                <w:szCs w:val="20"/>
              </w:rPr>
              <w:t xml:space="preserve">Ship Path A only — it's the faster path to a working end-to-end demo</w:t>
            </w:r>
          </w:p>
        </w:tc>
      </w:tr>
      <w:tr>
        <w:tc>
          <w:tcPr>
            <w:tcW w:type="dxa" w:w="4300"/>
            <w:tcMar>
              <w:top w:type="dxa" w:w="100"/>
              <w:left w:type="dxa" w:w="120"/>
              <w:bottom w:type="dxa" w:w="100"/>
              <w:right w:type="dxa" w:w="120"/>
            </w:tcMar>
          </w:tcPr>
          <w:p>
            <w:r>
              <w:rPr>
                <w:b w:val="false"/>
                <w:bCs w:val="false"/>
                <w:color w:val="000000"/>
                <w:sz w:val="20"/>
                <w:szCs w:val="20"/>
              </w:rPr>
              <w:t xml:space="preserve">A judge is likely to probe “where's your ML” specifically</w:t>
            </w:r>
          </w:p>
        </w:tc>
        <w:tc>
          <w:tcPr>
            <w:tcW w:type="dxa" w:w="5200"/>
            <w:tcMar>
              <w:top w:type="dxa" w:w="100"/>
              <w:left w:type="dxa" w:w="120"/>
              <w:bottom w:type="dxa" w:w="100"/>
              <w:right w:type="dxa" w:w="120"/>
            </w:tcMar>
          </w:tcPr>
          <w:p>
            <w:r>
              <w:rPr>
                <w:b w:val="false"/>
                <w:bCs w:val="false"/>
                <w:color w:val="000000"/>
                <w:sz w:val="20"/>
                <w:szCs w:val="20"/>
              </w:rPr>
              <w:t xml:space="preserve">Path B strengthens this significantly; worth prioritizing over polish elsewhere if time allows</w:t>
            </w:r>
          </w:p>
        </w:tc>
      </w:tr>
      <w:tr>
        <w:tc>
          <w:tcPr>
            <w:tcW w:type="dxa" w:w="4300"/>
            <w:tcMar>
              <w:top w:type="dxa" w:w="100"/>
              <w:left w:type="dxa" w:w="120"/>
              <w:bottom w:type="dxa" w:w="100"/>
              <w:right w:type="dxa" w:w="120"/>
            </w:tcMar>
          </w:tcPr>
          <w:p>
            <w:r>
              <w:rPr>
                <w:b w:val="false"/>
                <w:bCs w:val="false"/>
                <w:color w:val="000000"/>
                <w:sz w:val="20"/>
                <w:szCs w:val="20"/>
              </w:rPr>
              <w:t xml:space="preserve">Either path is shipped alone</w:t>
            </w:r>
          </w:p>
        </w:tc>
        <w:tc>
          <w:tcPr>
            <w:tcW w:type="dxa" w:w="5200"/>
            <w:tcMar>
              <w:top w:type="dxa" w:w="100"/>
              <w:left w:type="dxa" w:w="120"/>
              <w:bottom w:type="dxa" w:w="100"/>
              <w:right w:type="dxa" w:w="120"/>
            </w:tcMar>
          </w:tcPr>
          <w:p>
            <w:r>
              <w:rPr>
                <w:b w:val="false"/>
                <w:bCs w:val="false"/>
                <w:color w:val="000000"/>
                <w:sz w:val="20"/>
                <w:szCs w:val="20"/>
              </w:rPr>
              <w:t xml:space="preserve">Measure it: run extraction and the chosen comparator against the synthetic dataset's known labels and report real precision/recall — this, not which path was picked, is what actually separates a genuine system from a wrapper</w:t>
            </w:r>
          </w:p>
        </w:tc>
      </w:tr>
    </w:tbl>
    <w:p>
      <w:pPr>
        <w:spacing w:after="140" w:line="276"/>
      </w:pPr>
      <w:r>
        <w:rPr>
          <w:sz w:val="21"/>
          <w:szCs w:val="21"/>
        </w:rPr>
        <w:t xml:space="preserve">Both paths can run side by side on the same test pairs to produce exactly the kind of benchmark comparison the original two-week plan called for — text similarity alone vs. embeddings alone vs. LLM comparator vs. trained classifier — just scaled down to whatever time allows.</w:t>
      </w:r>
    </w:p>
    <w:p>
      <w:pPr>
        <w:pStyle w:val="Heading2"/>
        <w:spacing w:after="120" w:before="260"/>
      </w:pPr>
      <w:r>
        <w:rPr>
          <w:b/>
          <w:bCs/>
          <w:color w:val="1F4E5C"/>
          <w:sz w:val="24"/>
          <w:szCs w:val="24"/>
        </w:rPr>
        <w:t xml:space="preserve">Conflict gates (deterministic, not ML, either way)</w:t>
      </w:r>
    </w:p>
    <w:p>
      <w:pPr>
        <w:pStyle w:val="ListParagraph"/>
        <w:numPr>
          <w:ilvl w:val="0"/>
          <w:numId w:val="2"/>
        </w:numPr>
        <w:spacing w:after="80" w:line="276"/>
      </w:pPr>
      <w:r>
        <w:rPr>
          <w:sz w:val="21"/>
          <w:szCs w:val="21"/>
        </w:rPr>
        <w:t xml:space="preserve">A small hardcoded table per family, e.g. grade = critical, head_type = critical, finish = non-critical</w:t>
      </w:r>
    </w:p>
    <w:p>
      <w:pPr>
        <w:pStyle w:val="ListParagraph"/>
        <w:numPr>
          <w:ilvl w:val="0"/>
          <w:numId w:val="2"/>
        </w:numPr>
        <w:spacing w:after="80" w:line="276"/>
      </w:pPr>
      <w:r>
        <w:rPr>
          <w:sz w:val="21"/>
          <w:szCs w:val="21"/>
        </w:rPr>
        <w:t xml:space="preserve">Runs after the verdict from whichever path was chosen; if the verdict says “same” but two critical attributes disagree, the gate overrides it to “different” and logs that it fired</w:t>
      </w:r>
    </w:p>
    <w:p>
      <w:pPr>
        <w:pStyle w:val="ListParagraph"/>
        <w:numPr>
          <w:ilvl w:val="0"/>
          <w:numId w:val="2"/>
        </w:numPr>
        <w:spacing w:after="80" w:line="276"/>
      </w:pPr>
      <w:r>
        <w:rPr>
          <w:sz w:val="21"/>
          <w:szCs w:val="21"/>
        </w:rPr>
        <w:t xml:space="preserve">Kept as a separate, auditable module — this is what a domain reviewer can actually check, and it doesn't change regardless of which matching path is used</w:t>
      </w:r>
    </w:p>
    <w:p>
      <w:pPr>
        <w:pStyle w:val="Heading2"/>
        <w:spacing w:after="120" w:before="260"/>
      </w:pPr>
      <w:r>
        <w:rPr>
          <w:b/>
          <w:bCs/>
          <w:color w:val="1F4E5C"/>
          <w:sz w:val="24"/>
          <w:szCs w:val="24"/>
        </w:rPr>
        <w:t xml:space="preserve">What we are not doing, and why</w:t>
      </w:r>
    </w:p>
    <w:p>
      <w:pPr>
        <w:pStyle w:val="ListParagraph"/>
        <w:numPr>
          <w:ilvl w:val="0"/>
          <w:numId w:val="2"/>
        </w:numPr>
        <w:spacing w:after="80" w:line="276"/>
      </w:pPr>
      <w:r>
        <w:rPr>
          <w:sz w:val="21"/>
          <w:szCs w:val="21"/>
        </w:rPr>
        <w:t xml:space="preserve">No calibrated probability scores shown to the user — an uncalibrated number is misleading; the four-way label plus evidence is more honest, on either path</w:t>
      </w:r>
    </w:p>
    <w:p>
      <w:pPr>
        <w:pStyle w:val="ListParagraph"/>
        <w:numPr>
          <w:ilvl w:val="0"/>
          <w:numId w:val="2"/>
        </w:numPr>
        <w:spacing w:after="80" w:line="276"/>
      </w:pPr>
      <w:r>
        <w:rPr>
          <w:sz w:val="21"/>
          <w:szCs w:val="21"/>
        </w:rPr>
        <w:t xml:space="preserve">No transformer / deep pairwise model — out of scope for two days regardless of which path is chosen; Path B stays to a small, interpretable model on purpose</w:t>
      </w:r>
    </w:p>
    <w:p>
      <w:pPr>
        <w:pStyle w:val="ListParagraph"/>
        <w:numPr>
          <w:ilvl w:val="0"/>
          <w:numId w:val="2"/>
        </w:numPr>
        <w:spacing w:after="80" w:line="276"/>
      </w:pPr>
      <w:r>
        <w:rPr>
          <w:sz w:val="21"/>
          <w:szCs w:val="21"/>
        </w:rPr>
        <w:t xml:space="preserve">No full ablation dashboard — a stretch item only if hours remain, using whichever path comparison was actually run as the benchmark</w:t>
      </w:r>
    </w:p>
    <w:p>
      <w:pPr>
        <w:pStyle w:val="Heading1"/>
        <w:spacing w:after="160" w:before="320"/>
      </w:pPr>
      <w:r>
        <w:rPr>
          <w:b/>
          <w:bCs/>
          <w:color w:val="1F4E5C"/>
          <w:sz w:val="30"/>
          <w:szCs w:val="30"/>
        </w:rPr>
        <w:t xml:space="preserve">6. Dataset Plan</w:t>
      </w:r>
    </w:p>
    <w:p>
      <w:pPr>
        <w:spacing w:after="140" w:line="276"/>
      </w:pPr>
      <w:r>
        <w:rPr>
          <w:sz w:val="21"/>
          <w:szCs w:val="21"/>
        </w:rPr>
        <w:t xml:space="preserve">The dataset is generated in parallel with pipeline development on Day 1, since the pipeline cannot be tested without it.</w:t>
      </w:r>
    </w:p>
    <w:p>
      <w:pPr>
        <w:pStyle w:val="ListParagraph"/>
        <w:numPr>
          <w:ilvl w:val="0"/>
          <w:numId w:val="2"/>
        </w:numPr>
        <w:spacing w:after="80" w:line="276"/>
      </w:pPr>
      <w:r>
        <w:rPr>
          <w:sz w:val="21"/>
          <w:szCs w:val="21"/>
        </w:rPr>
        <w:t xml:space="preserve">One family: hex bolts. Schema: diameter, thread pitch, length, grade, head type, finish, governing specification</w:t>
      </w:r>
    </w:p>
    <w:p>
      <w:pPr>
        <w:pStyle w:val="ListParagraph"/>
        <w:numPr>
          <w:ilvl w:val="0"/>
          <w:numId w:val="2"/>
        </w:numPr>
        <w:spacing w:after="80" w:line="276"/>
      </w:pPr>
      <w:r>
        <w:rPr>
          <w:sz w:val="21"/>
          <w:szCs w:val="21"/>
        </w:rPr>
        <w:t xml:space="preserve">2–3 simulated “company” sources, clearly labeled as fictional/simulated — never presented as real CPSE data</w:t>
      </w:r>
    </w:p>
    <w:p>
      <w:pPr>
        <w:pStyle w:val="ListParagraph"/>
        <w:numPr>
          <w:ilvl w:val="0"/>
          <w:numId w:val="2"/>
        </w:numPr>
        <w:spacing w:after="80" w:line="276"/>
      </w:pPr>
      <w:r>
        <w:rPr>
          <w:sz w:val="21"/>
          <w:szCs w:val="21"/>
        </w:rPr>
        <w:t xml:space="preserve">~100–150 records total, deliberately constructed to include: obvious duplicates, reworded duplicates, one grade-conflict pair, one record with a missing critical field, and a few genuinely unrelated bolts as noise</w:t>
      </w:r>
    </w:p>
    <w:p>
      <w:pPr>
        <w:pStyle w:val="ListParagraph"/>
        <w:numPr>
          <w:ilvl w:val="0"/>
          <w:numId w:val="2"/>
        </w:numPr>
        <w:spacing w:after="80" w:line="276"/>
      </w:pPr>
      <w:r>
        <w:rPr>
          <w:sz w:val="21"/>
          <w:szCs w:val="21"/>
        </w:rPr>
        <w:t xml:space="preserve">The exact demo cases (a clean merge, a conflicting rejection, a missing-field question) are seeded deliberately, not left to chance from random generation</w:t>
      </w:r>
    </w:p>
    <w:p>
      <w:pPr>
        <w:spacing w:after="140" w:line="276"/>
      </w:pPr>
      <w:r>
        <w:rPr>
          <w:sz w:val="21"/>
          <w:szCs w:val="21"/>
        </w:rPr>
        <w:t xml:space="preserve">The base identities (true diameter, pitch, length, and grade combinations) should come from real published standards rather than invented numbers — see section 12, Reference Data &amp; Resources, for the specific standards and dimension charts to pull from. Generation (an LLM or a script) is then used only to create the reworded, abbreviated, or incomplete variant descriptions on top of those real seed values — never to invent a new true attribute value.</w:t>
      </w:r>
    </w:p>
    <w:p>
      <w:pPr>
        <w:pStyle w:val="Heading1"/>
        <w:spacing w:after="160" w:before="320"/>
      </w:pPr>
      <w:r>
        <w:rPr>
          <w:b/>
          <w:bCs/>
          <w:color w:val="1F4E5C"/>
          <w:sz w:val="30"/>
          <w:szCs w:val="30"/>
        </w:rPr>
        <w:t xml:space="preserve">7. Interface</w:t>
      </w:r>
    </w:p>
    <w:p>
      <w:pPr>
        <w:pStyle w:val="Heading2"/>
        <w:spacing w:after="120" w:before="260"/>
      </w:pPr>
      <w:r>
        <w:rPr>
          <w:b/>
          <w:bCs/>
          <w:color w:val="1F4E5C"/>
          <w:sz w:val="24"/>
          <w:szCs w:val="24"/>
        </w:rPr>
        <w:t xml:space="preserve">Reconciliation desk (primary, functional)</w:t>
      </w:r>
    </w:p>
    <w:p>
      <w:pPr>
        <w:spacing w:after="140" w:line="276"/>
      </w:pPr>
      <w:r>
        <w:rPr>
          <w:sz w:val="21"/>
          <w:szCs w:val="21"/>
        </w:rPr>
        <w:t xml:space="preserve">A queue list, a side-by-side attribute comparison for the selected pair with evidence shown per field, and approve / reject / request-information actions. This is what proves the pipeline works end-to-end and is what gets built and tested first.</w:t>
      </w:r>
    </w:p>
    <w:p>
      <w:pPr>
        <w:pStyle w:val="Heading2"/>
        <w:spacing w:after="120" w:before="260"/>
      </w:pPr>
      <w:r>
        <w:rPr>
          <w:b/>
          <w:bCs/>
          <w:color w:val="1F4E5C"/>
          <w:sz w:val="24"/>
          <w:szCs w:val="24"/>
        </w:rPr>
        <w:t xml:space="preserve">Relationship graph (closing visual only)</w:t>
      </w:r>
    </w:p>
    <w:p>
      <w:pPr>
        <w:spacing w:after="140" w:line="276"/>
      </w:pPr>
      <w:r>
        <w:rPr>
          <w:sz w:val="21"/>
          <w:szCs w:val="21"/>
        </w:rPr>
        <w:t xml:space="preserve">Once matches, conflicts, and clusters exist in the database, they can be rendered as a small node graph with a lightweight library (e.g. react-force-graph or vis-network) — no new backend logic required. Built last, after the demo cases are locked, and pre-computed/hardcoded for the specific 6–8 nodes used in the demo rather than trusted to a live auto-layout. First thing to cut if time runs short.</w:t>
      </w:r>
    </w:p>
    <w:p>
      <w:pPr>
        <w:pStyle w:val="Heading1"/>
        <w:spacing w:after="160" w:before="320"/>
      </w:pPr>
      <w:r>
        <w:rPr>
          <w:b/>
          <w:bCs/>
          <w:color w:val="1F4E5C"/>
          <w:sz w:val="30"/>
          <w:szCs w:val="30"/>
        </w:rPr>
        <w:t xml:space="preserve">8. Day-by-Day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50"/>
        <w:gridCol w:w="4200"/>
        <w:gridCol w:w="4150"/>
      </w:tblGrid>
      <w:tr>
        <w:trPr>
          <w:tblHeader/>
        </w:trPr>
        <w:tc>
          <w:tcPr>
            <w:tcW w:type="dxa" w:w="1650"/>
            <w:shd w:fill="EAF2F3" w:val="clear"/>
            <w:tcMar>
              <w:top w:type="dxa" w:w="100"/>
              <w:left w:type="dxa" w:w="120"/>
              <w:bottom w:type="dxa" w:w="100"/>
              <w:right w:type="dxa" w:w="120"/>
            </w:tcMar>
          </w:tcPr>
          <w:p>
            <w:r>
              <w:rPr>
                <w:b/>
                <w:bCs/>
                <w:color w:val="1F4E5C"/>
                <w:sz w:val="20"/>
                <w:szCs w:val="20"/>
              </w:rPr>
              <w:t xml:space="preserve">When</w:t>
            </w:r>
          </w:p>
        </w:tc>
        <w:tc>
          <w:tcPr>
            <w:tcW w:type="dxa" w:w="4200"/>
            <w:shd w:fill="EAF2F3" w:val="clear"/>
            <w:tcMar>
              <w:top w:type="dxa" w:w="100"/>
              <w:left w:type="dxa" w:w="120"/>
              <w:bottom w:type="dxa" w:w="100"/>
              <w:right w:type="dxa" w:w="120"/>
            </w:tcMar>
          </w:tcPr>
          <w:p>
            <w:r>
              <w:rPr>
                <w:b/>
                <w:bCs/>
                <w:color w:val="1F4E5C"/>
                <w:sz w:val="20"/>
                <w:szCs w:val="20"/>
              </w:rPr>
              <w:t xml:space="preserve">Focus</w:t>
            </w:r>
          </w:p>
        </w:tc>
        <w:tc>
          <w:tcPr>
            <w:tcW w:type="dxa" w:w="4150"/>
            <w:shd w:fill="EAF2F3" w:val="clear"/>
            <w:tcMar>
              <w:top w:type="dxa" w:w="100"/>
              <w:left w:type="dxa" w:w="120"/>
              <w:bottom w:type="dxa" w:w="100"/>
              <w:right w:type="dxa" w:w="120"/>
            </w:tcMar>
          </w:tcPr>
          <w:p>
            <w:r>
              <w:rPr>
                <w:b/>
                <w:bCs/>
                <w:color w:val="1F4E5C"/>
                <w:sz w:val="20"/>
                <w:szCs w:val="20"/>
              </w:rPr>
              <w:t xml:space="preserve">Exit condition</w:t>
            </w:r>
          </w:p>
        </w:tc>
      </w:tr>
      <w:tr>
        <w:tc>
          <w:tcPr>
            <w:tcW w:type="dxa" w:w="1650"/>
            <w:tcMar>
              <w:top w:type="dxa" w:w="100"/>
              <w:left w:type="dxa" w:w="120"/>
              <w:bottom w:type="dxa" w:w="100"/>
              <w:right w:type="dxa" w:w="120"/>
            </w:tcMar>
          </w:tcPr>
          <w:p>
            <w:r>
              <w:rPr>
                <w:b w:val="false"/>
                <w:bCs w:val="false"/>
                <w:color w:val="000000"/>
                <w:sz w:val="20"/>
                <w:szCs w:val="20"/>
              </w:rPr>
              <w:t xml:space="preserve">Day 1, first 2–3 hrs</w:t>
            </w:r>
          </w:p>
        </w:tc>
        <w:tc>
          <w:tcPr>
            <w:tcW w:type="dxa" w:w="4200"/>
            <w:tcMar>
              <w:top w:type="dxa" w:w="100"/>
              <w:left w:type="dxa" w:w="120"/>
              <w:bottom w:type="dxa" w:w="100"/>
              <w:right w:type="dxa" w:w="120"/>
            </w:tcMar>
          </w:tcPr>
          <w:p>
            <w:r>
              <w:rPr>
                <w:b w:val="false"/>
                <w:bCs w:val="false"/>
                <w:color w:val="000000"/>
                <w:sz w:val="20"/>
                <w:szCs w:val="20"/>
              </w:rPr>
              <w:t xml:space="preserve">Lock the bolt schema and the conflict-gate table — blocks everyone else, done first with real reference specs where possible</w:t>
            </w:r>
          </w:p>
        </w:tc>
        <w:tc>
          <w:tcPr>
            <w:tcW w:type="dxa" w:w="4150"/>
            <w:tcMar>
              <w:top w:type="dxa" w:w="100"/>
              <w:left w:type="dxa" w:w="120"/>
              <w:bottom w:type="dxa" w:w="100"/>
              <w:right w:type="dxa" w:w="120"/>
            </w:tcMar>
          </w:tcPr>
          <w:p>
            <w:r>
              <w:rPr>
                <w:b w:val="false"/>
                <w:bCs w:val="false"/>
                <w:color w:val="000000"/>
                <w:sz w:val="20"/>
                <w:szCs w:val="20"/>
              </w:rPr>
              <w:t xml:space="preserve">Schema and gate table are written down and shared across the team</w:t>
            </w:r>
          </w:p>
        </w:tc>
      </w:tr>
      <w:tr>
        <w:tc>
          <w:tcPr>
            <w:tcW w:type="dxa" w:w="1650"/>
            <w:tcMar>
              <w:top w:type="dxa" w:w="100"/>
              <w:left w:type="dxa" w:w="120"/>
              <w:bottom w:type="dxa" w:w="100"/>
              <w:right w:type="dxa" w:w="120"/>
            </w:tcMar>
          </w:tcPr>
          <w:p>
            <w:r>
              <w:rPr>
                <w:b w:val="false"/>
                <w:bCs w:val="false"/>
                <w:color w:val="000000"/>
                <w:sz w:val="20"/>
                <w:szCs w:val="20"/>
              </w:rPr>
              <w:t xml:space="preserve">Day 1, parallel tracks</w:t>
            </w:r>
          </w:p>
        </w:tc>
        <w:tc>
          <w:tcPr>
            <w:tcW w:type="dxa" w:w="4200"/>
            <w:tcMar>
              <w:top w:type="dxa" w:w="100"/>
              <w:left w:type="dxa" w:w="120"/>
              <w:bottom w:type="dxa" w:w="100"/>
              <w:right w:type="dxa" w:w="120"/>
            </w:tcMar>
          </w:tcPr>
          <w:p>
            <w:r>
              <w:rPr>
                <w:b w:val="false"/>
                <w:bCs w:val="false"/>
                <w:color w:val="000000"/>
                <w:sz w:val="20"/>
                <w:szCs w:val="20"/>
              </w:rPr>
              <w:t xml:space="preserve">Track A: generate the synthetic dataset. Track B: build ingestion + extraction pipeline. Track C: backend skeleton and data model</w:t>
            </w:r>
          </w:p>
        </w:tc>
        <w:tc>
          <w:tcPr>
            <w:tcW w:type="dxa" w:w="4150"/>
            <w:tcMar>
              <w:top w:type="dxa" w:w="100"/>
              <w:left w:type="dxa" w:w="120"/>
              <w:bottom w:type="dxa" w:w="100"/>
              <w:right w:type="dxa" w:w="120"/>
            </w:tcMar>
          </w:tcPr>
          <w:p>
            <w:r>
              <w:rPr>
                <w:b w:val="false"/>
                <w:bCs w:val="false"/>
                <w:color w:val="000000"/>
                <w:sz w:val="20"/>
                <w:szCs w:val="20"/>
              </w:rPr>
              <w:t xml:space="preserve">Extraction pipeline runs on the full dataset, producing typed attributes with evidence for every record</w:t>
            </w:r>
          </w:p>
        </w:tc>
      </w:tr>
      <w:tr>
        <w:tc>
          <w:tcPr>
            <w:tcW w:type="dxa" w:w="1650"/>
            <w:tcMar>
              <w:top w:type="dxa" w:w="100"/>
              <w:left w:type="dxa" w:w="120"/>
              <w:bottom w:type="dxa" w:w="100"/>
              <w:right w:type="dxa" w:w="120"/>
            </w:tcMar>
          </w:tcPr>
          <w:p>
            <w:r>
              <w:rPr>
                <w:b w:val="false"/>
                <w:bCs w:val="false"/>
                <w:color w:val="000000"/>
                <w:sz w:val="20"/>
                <w:szCs w:val="20"/>
              </w:rPr>
              <w:t xml:space="preserve">Day 2, morning</w:t>
            </w:r>
          </w:p>
        </w:tc>
        <w:tc>
          <w:tcPr>
            <w:tcW w:type="dxa" w:w="4200"/>
            <w:tcMar>
              <w:top w:type="dxa" w:w="100"/>
              <w:left w:type="dxa" w:w="120"/>
              <w:bottom w:type="dxa" w:w="100"/>
              <w:right w:type="dxa" w:w="120"/>
            </w:tcMar>
          </w:tcPr>
          <w:p>
            <w:r>
              <w:rPr>
                <w:b w:val="false"/>
                <w:bCs w:val="false"/>
                <w:color w:val="000000"/>
                <w:sz w:val="20"/>
                <w:szCs w:val="20"/>
              </w:rPr>
              <w:t xml:space="preserve">Embedding retrieval + LLM pairwise comparator + conflict-gate override, run end-to-end</w:t>
            </w:r>
          </w:p>
        </w:tc>
        <w:tc>
          <w:tcPr>
            <w:tcW w:type="dxa" w:w="4150"/>
            <w:tcMar>
              <w:top w:type="dxa" w:w="100"/>
              <w:left w:type="dxa" w:w="120"/>
              <w:bottom w:type="dxa" w:w="100"/>
              <w:right w:type="dxa" w:w="120"/>
            </w:tcMar>
          </w:tcPr>
          <w:p>
            <w:r>
              <w:rPr>
                <w:b w:val="false"/>
                <w:bCs w:val="false"/>
                <w:color w:val="000000"/>
                <w:sz w:val="20"/>
                <w:szCs w:val="20"/>
              </w:rPr>
              <w:t xml:space="preserve">Every candidate pair produces a four-way verdict, with gate overrides logged</w:t>
            </w:r>
          </w:p>
        </w:tc>
      </w:tr>
      <w:tr>
        <w:tc>
          <w:tcPr>
            <w:tcW w:type="dxa" w:w="1650"/>
            <w:tcMar>
              <w:top w:type="dxa" w:w="100"/>
              <w:left w:type="dxa" w:w="120"/>
              <w:bottom w:type="dxa" w:w="100"/>
              <w:right w:type="dxa" w:w="120"/>
            </w:tcMar>
          </w:tcPr>
          <w:p>
            <w:r>
              <w:rPr>
                <w:b w:val="false"/>
                <w:bCs w:val="false"/>
                <w:color w:val="000000"/>
                <w:sz w:val="20"/>
                <w:szCs w:val="20"/>
              </w:rPr>
              <w:t xml:space="preserve">Day 2, midday</w:t>
            </w:r>
          </w:p>
        </w:tc>
        <w:tc>
          <w:tcPr>
            <w:tcW w:type="dxa" w:w="4200"/>
            <w:tcMar>
              <w:top w:type="dxa" w:w="100"/>
              <w:left w:type="dxa" w:w="120"/>
              <w:bottom w:type="dxa" w:w="100"/>
              <w:right w:type="dxa" w:w="120"/>
            </w:tcMar>
          </w:tcPr>
          <w:p>
            <w:r>
              <w:rPr>
                <w:b w:val="false"/>
                <w:bCs w:val="false"/>
                <w:color w:val="000000"/>
                <w:sz w:val="20"/>
                <w:szCs w:val="20"/>
              </w:rPr>
              <w:t xml:space="preserve">Review queue API (approve/reject/request-info), canonical ID assignment, event log</w:t>
            </w:r>
          </w:p>
        </w:tc>
        <w:tc>
          <w:tcPr>
            <w:tcW w:type="dxa" w:w="4150"/>
            <w:tcMar>
              <w:top w:type="dxa" w:w="100"/>
              <w:left w:type="dxa" w:w="120"/>
              <w:bottom w:type="dxa" w:w="100"/>
              <w:right w:type="dxa" w:w="120"/>
            </w:tcMar>
          </w:tcPr>
          <w:p>
            <w:r>
              <w:rPr>
                <w:b w:val="false"/>
                <w:bCs w:val="false"/>
                <w:color w:val="000000"/>
                <w:sz w:val="20"/>
                <w:szCs w:val="20"/>
              </w:rPr>
              <w:t xml:space="preserve">A reviewer can approve a mapping and see it reflected in the canonical registry</w:t>
            </w:r>
          </w:p>
        </w:tc>
      </w:tr>
      <w:tr>
        <w:tc>
          <w:tcPr>
            <w:tcW w:type="dxa" w:w="1650"/>
            <w:tcMar>
              <w:top w:type="dxa" w:w="100"/>
              <w:left w:type="dxa" w:w="120"/>
              <w:bottom w:type="dxa" w:w="100"/>
              <w:right w:type="dxa" w:w="120"/>
            </w:tcMar>
          </w:tcPr>
          <w:p>
            <w:r>
              <w:rPr>
                <w:b w:val="false"/>
                <w:bCs w:val="false"/>
                <w:color w:val="000000"/>
                <w:sz w:val="20"/>
                <w:szCs w:val="20"/>
              </w:rPr>
              <w:t xml:space="preserve">Day 2, afternoon</w:t>
            </w:r>
          </w:p>
        </w:tc>
        <w:tc>
          <w:tcPr>
            <w:tcW w:type="dxa" w:w="4200"/>
            <w:tcMar>
              <w:top w:type="dxa" w:w="100"/>
              <w:left w:type="dxa" w:w="120"/>
              <w:bottom w:type="dxa" w:w="100"/>
              <w:right w:type="dxa" w:w="120"/>
            </w:tcMar>
          </w:tcPr>
          <w:p>
            <w:r>
              <w:rPr>
                <w:b w:val="false"/>
                <w:bCs w:val="false"/>
                <w:color w:val="000000"/>
                <w:sz w:val="20"/>
                <w:szCs w:val="20"/>
              </w:rPr>
              <w:t xml:space="preserve">Minimal frontend: queue, comparison view with evidence, action buttons. Duplicate-prevention endpoint</w:t>
            </w:r>
          </w:p>
        </w:tc>
        <w:tc>
          <w:tcPr>
            <w:tcW w:type="dxa" w:w="4150"/>
            <w:tcMar>
              <w:top w:type="dxa" w:w="100"/>
              <w:left w:type="dxa" w:w="120"/>
              <w:bottom w:type="dxa" w:w="100"/>
              <w:right w:type="dxa" w:w="120"/>
            </w:tcMar>
          </w:tcPr>
          <w:p>
            <w:r>
              <w:rPr>
                <w:b w:val="false"/>
                <w:bCs w:val="false"/>
                <w:color w:val="000000"/>
                <w:sz w:val="20"/>
                <w:szCs w:val="20"/>
              </w:rPr>
              <w:t xml:space="preserve">A user can walk the full flow in the UI without touching the API directly</w:t>
            </w:r>
          </w:p>
        </w:tc>
      </w:tr>
      <w:tr>
        <w:tc>
          <w:tcPr>
            <w:tcW w:type="dxa" w:w="1650"/>
            <w:tcMar>
              <w:top w:type="dxa" w:w="100"/>
              <w:left w:type="dxa" w:w="120"/>
              <w:bottom w:type="dxa" w:w="100"/>
              <w:right w:type="dxa" w:w="120"/>
            </w:tcMar>
          </w:tcPr>
          <w:p>
            <w:r>
              <w:rPr>
                <w:b w:val="false"/>
                <w:bCs w:val="false"/>
                <w:color w:val="000000"/>
                <w:sz w:val="20"/>
                <w:szCs w:val="20"/>
              </w:rPr>
              <w:t xml:space="preserve">Day 2, late afternoon</w:t>
            </w:r>
          </w:p>
        </w:tc>
        <w:tc>
          <w:tcPr>
            <w:tcW w:type="dxa" w:w="4200"/>
            <w:tcMar>
              <w:top w:type="dxa" w:w="100"/>
              <w:left w:type="dxa" w:w="120"/>
              <w:bottom w:type="dxa" w:w="100"/>
              <w:right w:type="dxa" w:w="120"/>
            </w:tcMar>
          </w:tcPr>
          <w:p>
            <w:r>
              <w:rPr>
                <w:b w:val="false"/>
                <w:bCs w:val="false"/>
                <w:color w:val="000000"/>
                <w:sz w:val="20"/>
                <w:szCs w:val="20"/>
              </w:rPr>
              <w:t xml:space="preserve">Seed the exact demo cases into the dataset deliberately; verify each behaves correctly</w:t>
            </w:r>
          </w:p>
        </w:tc>
        <w:tc>
          <w:tcPr>
            <w:tcW w:type="dxa" w:w="4150"/>
            <w:tcMar>
              <w:top w:type="dxa" w:w="100"/>
              <w:left w:type="dxa" w:w="120"/>
              <w:bottom w:type="dxa" w:w="100"/>
              <w:right w:type="dxa" w:w="120"/>
            </w:tcMar>
          </w:tcPr>
          <w:p>
            <w:r>
              <w:rPr>
                <w:b w:val="false"/>
                <w:bCs w:val="false"/>
                <w:color w:val="000000"/>
                <w:sz w:val="20"/>
                <w:szCs w:val="20"/>
              </w:rPr>
              <w:t xml:space="preserve">The clean merge, the conflict rejection, and the missing-field prompt all work reliably</w:t>
            </w:r>
          </w:p>
        </w:tc>
      </w:tr>
      <w:tr>
        <w:tc>
          <w:tcPr>
            <w:tcW w:type="dxa" w:w="1650"/>
            <w:tcMar>
              <w:top w:type="dxa" w:w="100"/>
              <w:left w:type="dxa" w:w="120"/>
              <w:bottom w:type="dxa" w:w="100"/>
              <w:right w:type="dxa" w:w="120"/>
            </w:tcMar>
          </w:tcPr>
          <w:p>
            <w:r>
              <w:rPr>
                <w:b w:val="false"/>
                <w:bCs w:val="false"/>
                <w:color w:val="000000"/>
                <w:sz w:val="20"/>
                <w:szCs w:val="20"/>
              </w:rPr>
              <w:t xml:space="preserve">Day 2, evening</w:t>
            </w:r>
          </w:p>
        </w:tc>
        <w:tc>
          <w:tcPr>
            <w:tcW w:type="dxa" w:w="4200"/>
            <w:tcMar>
              <w:top w:type="dxa" w:w="100"/>
              <w:left w:type="dxa" w:w="120"/>
              <w:bottom w:type="dxa" w:w="100"/>
              <w:right w:type="dxa" w:w="120"/>
            </w:tcMar>
          </w:tcPr>
          <w:p>
            <w:r>
              <w:rPr>
                <w:b w:val="false"/>
                <w:bCs w:val="false"/>
                <w:color w:val="000000"/>
                <w:sz w:val="20"/>
                <w:szCs w:val="20"/>
              </w:rPr>
              <w:t xml:space="preserve">Closing graph view (if time remains); otherwise skip</w:t>
            </w:r>
          </w:p>
        </w:tc>
        <w:tc>
          <w:tcPr>
            <w:tcW w:type="dxa" w:w="4150"/>
            <w:tcMar>
              <w:top w:type="dxa" w:w="100"/>
              <w:left w:type="dxa" w:w="120"/>
              <w:bottom w:type="dxa" w:w="100"/>
              <w:right w:type="dxa" w:w="120"/>
            </w:tcMar>
          </w:tcPr>
          <w:p>
            <w:r>
              <w:rPr>
                <w:b w:val="false"/>
                <w:bCs w:val="false"/>
                <w:color w:val="000000"/>
                <w:sz w:val="20"/>
                <w:szCs w:val="20"/>
              </w:rPr>
              <w:t xml:space="preserve">A static, curated graph renders for the demo cluster — optional</w:t>
            </w:r>
          </w:p>
        </w:tc>
      </w:tr>
      <w:tr>
        <w:tc>
          <w:tcPr>
            <w:tcW w:type="dxa" w:w="1650"/>
            <w:tcMar>
              <w:top w:type="dxa" w:w="100"/>
              <w:left w:type="dxa" w:w="120"/>
              <w:bottom w:type="dxa" w:w="100"/>
              <w:right w:type="dxa" w:w="120"/>
            </w:tcMar>
          </w:tcPr>
          <w:p>
            <w:r>
              <w:rPr>
                <w:b w:val="false"/>
                <w:bCs w:val="false"/>
                <w:color w:val="000000"/>
                <w:sz w:val="20"/>
                <w:szCs w:val="20"/>
              </w:rPr>
              <w:t xml:space="preserve">Day 2, final hour</w:t>
            </w:r>
          </w:p>
        </w:tc>
        <w:tc>
          <w:tcPr>
            <w:tcW w:type="dxa" w:w="4200"/>
            <w:tcMar>
              <w:top w:type="dxa" w:w="100"/>
              <w:left w:type="dxa" w:w="120"/>
              <w:bottom w:type="dxa" w:w="100"/>
              <w:right w:type="dxa" w:w="120"/>
            </w:tcMar>
          </w:tcPr>
          <w:p>
            <w:r>
              <w:rPr>
                <w:b w:val="false"/>
                <w:bCs w:val="false"/>
                <w:color w:val="000000"/>
                <w:sz w:val="20"/>
                <w:szCs w:val="20"/>
              </w:rPr>
              <w:t xml:space="preserve">Rehearse the exact demo script end-to-end</w:t>
            </w:r>
          </w:p>
        </w:tc>
        <w:tc>
          <w:tcPr>
            <w:tcW w:type="dxa" w:w="4150"/>
            <w:tcMar>
              <w:top w:type="dxa" w:w="100"/>
              <w:left w:type="dxa" w:w="120"/>
              <w:bottom w:type="dxa" w:w="100"/>
              <w:right w:type="dxa" w:w="120"/>
            </w:tcMar>
          </w:tcPr>
          <w:p>
            <w:r>
              <w:rPr>
                <w:b w:val="false"/>
                <w:bCs w:val="false"/>
                <w:color w:val="000000"/>
                <w:sz w:val="20"/>
                <w:szCs w:val="20"/>
              </w:rPr>
              <w:t xml:space="preserve">The full script runs without manual intervention</w:t>
            </w:r>
          </w:p>
        </w:tc>
      </w:tr>
    </w:tbl>
    <w:p>
      <w:pPr>
        <w:pStyle w:val="Heading1"/>
        <w:spacing w:after="160" w:before="320"/>
      </w:pPr>
      <w:r>
        <w:rPr>
          <w:b/>
          <w:bCs/>
          <w:color w:val="1F4E5C"/>
          <w:sz w:val="30"/>
          <w:szCs w:val="30"/>
        </w:rPr>
        <w:t xml:space="preserve">9. Demo Script</w:t>
      </w:r>
    </w:p>
    <w:p>
      <w:pPr>
        <w:pStyle w:val="ListParagraph"/>
        <w:numPr>
          <w:ilvl w:val="0"/>
          <w:numId w:val="2"/>
        </w:numPr>
        <w:spacing w:after="80" w:line="276"/>
      </w:pPr>
      <w:r>
        <w:rPr>
          <w:sz w:val="21"/>
          <w:szCs w:val="21"/>
        </w:rPr>
        <w:t xml:space="preserve">Import three simulated catalogues.</w:t>
      </w:r>
    </w:p>
    <w:p>
      <w:pPr>
        <w:pStyle w:val="ListParagraph"/>
        <w:numPr>
          <w:ilvl w:val="0"/>
          <w:numId w:val="2"/>
        </w:numPr>
        <w:spacing w:after="80" w:line="276"/>
      </w:pPr>
      <w:r>
        <w:rPr>
          <w:sz w:val="21"/>
          <w:szCs w:val="21"/>
        </w:rPr>
        <w:t xml:space="preserve">Open two records with very different wording but matching identity evidence — approve the proposed mapping, showing both source codes retained.</w:t>
      </w:r>
    </w:p>
    <w:p>
      <w:pPr>
        <w:pStyle w:val="ListParagraph"/>
        <w:numPr>
          <w:ilvl w:val="0"/>
          <w:numId w:val="2"/>
        </w:numPr>
        <w:spacing w:after="80" w:line="276"/>
      </w:pPr>
      <w:r>
        <w:rPr>
          <w:sz w:val="21"/>
          <w:szCs w:val="21"/>
        </w:rPr>
        <w:t xml:space="preserve">Introduce a nearly identical record with one conflicting attribute — the system refuses the merge and highlights the exact conflict.</w:t>
      </w:r>
    </w:p>
    <w:p>
      <w:pPr>
        <w:pStyle w:val="ListParagraph"/>
        <w:numPr>
          <w:ilvl w:val="0"/>
          <w:numId w:val="2"/>
        </w:numPr>
        <w:spacing w:after="80" w:line="276"/>
      </w:pPr>
      <w:r>
        <w:rPr>
          <w:sz w:val="21"/>
          <w:szCs w:val="21"/>
        </w:rPr>
        <w:t xml:space="preserve">Introduce an incomplete record — the system asks for the missing attribute, receives the answer, and updates its recommendation.</w:t>
      </w:r>
    </w:p>
    <w:p>
      <w:pPr>
        <w:pStyle w:val="ListParagraph"/>
        <w:numPr>
          <w:ilvl w:val="0"/>
          <w:numId w:val="2"/>
        </w:numPr>
        <w:spacing w:after="80" w:line="276"/>
      </w:pPr>
      <w:r>
        <w:rPr>
          <w:sz w:val="21"/>
          <w:szCs w:val="21"/>
        </w:rPr>
        <w:t xml:space="preserve">Open the duplicate-prevention check — enter a new material under another description and show the system surfacing the existing match before a new code is created.</w:t>
      </w:r>
    </w:p>
    <w:p>
      <w:pPr>
        <w:pStyle w:val="ListParagraph"/>
        <w:numPr>
          <w:ilvl w:val="0"/>
          <w:numId w:val="2"/>
        </w:numPr>
        <w:spacing w:after="80" w:line="276"/>
      </w:pPr>
      <w:r>
        <w:rPr>
          <w:sz w:val="21"/>
          <w:szCs w:val="21"/>
        </w:rPr>
        <w:t xml:space="preserve">Close on the relationship graph (if built) showing the resulting identity cluster and its source mappings.</w:t>
      </w:r>
    </w:p>
    <w:p>
      <w:pPr>
        <w:pStyle w:val="Heading1"/>
        <w:spacing w:after="160" w:before="320"/>
      </w:pPr>
      <w:r>
        <w:rPr>
          <w:b/>
          <w:bCs/>
          <w:color w:val="1F4E5C"/>
          <w:sz w:val="30"/>
          <w:szCs w:val="30"/>
        </w:rPr>
        <w:t xml:space="preserve">10.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EAF2F3" w:val="clear"/>
            <w:tcMar>
              <w:top w:type="dxa" w:w="100"/>
              <w:left w:type="dxa" w:w="120"/>
              <w:bottom w:type="dxa" w:w="100"/>
              <w:right w:type="dxa" w:w="120"/>
            </w:tcMar>
          </w:tcPr>
          <w:p>
            <w:r>
              <w:rPr>
                <w:b/>
                <w:bCs/>
                <w:color w:val="1F4E5C"/>
                <w:sz w:val="20"/>
                <w:szCs w:val="20"/>
              </w:rPr>
              <w:t xml:space="preserve">Layer</w:t>
            </w:r>
          </w:p>
        </w:tc>
        <w:tc>
          <w:tcPr>
            <w:tcW w:type="dxa" w:w="7400"/>
            <w:shd w:fill="EAF2F3" w:val="clear"/>
            <w:tcMar>
              <w:top w:type="dxa" w:w="100"/>
              <w:left w:type="dxa" w:w="120"/>
              <w:bottom w:type="dxa" w:w="100"/>
              <w:right w:type="dxa" w:w="120"/>
            </w:tcMar>
          </w:tcPr>
          <w:p>
            <w:r>
              <w:rPr>
                <w:b/>
                <w:bCs/>
                <w:color w:val="1F4E5C"/>
                <w:sz w:val="20"/>
                <w:szCs w:val="20"/>
              </w:rPr>
              <w:t xml:space="preserve">Choice</w:t>
            </w:r>
          </w:p>
        </w:tc>
      </w:tr>
      <w:tr>
        <w:tc>
          <w:tcPr>
            <w:tcW w:type="dxa" w:w="2600"/>
            <w:tcMar>
              <w:top w:type="dxa" w:w="100"/>
              <w:left w:type="dxa" w:w="120"/>
              <w:bottom w:type="dxa" w:w="100"/>
              <w:right w:type="dxa" w:w="120"/>
            </w:tcMar>
          </w:tcPr>
          <w:p>
            <w:r>
              <w:rPr>
                <w:b w:val="false"/>
                <w:bCs w:val="false"/>
                <w:color w:val="000000"/>
                <w:sz w:val="20"/>
                <w:szCs w:val="20"/>
              </w:rPr>
              <w:t xml:space="preserve">Frontend</w:t>
            </w:r>
          </w:p>
        </w:tc>
        <w:tc>
          <w:tcPr>
            <w:tcW w:type="dxa" w:w="7400"/>
            <w:tcMar>
              <w:top w:type="dxa" w:w="100"/>
              <w:left w:type="dxa" w:w="120"/>
              <w:bottom w:type="dxa" w:w="100"/>
              <w:right w:type="dxa" w:w="120"/>
            </w:tcMar>
          </w:tcPr>
          <w:p>
            <w:r>
              <w:rPr>
                <w:b w:val="false"/>
                <w:bCs w:val="false"/>
                <w:color w:val="000000"/>
                <w:sz w:val="20"/>
                <w:szCs w:val="20"/>
              </w:rPr>
              <w:t xml:space="preserve">React + TypeScript</w:t>
            </w:r>
          </w:p>
        </w:tc>
      </w:tr>
      <w:tr>
        <w:tc>
          <w:tcPr>
            <w:tcW w:type="dxa" w:w="2600"/>
            <w:tcMar>
              <w:top w:type="dxa" w:w="100"/>
              <w:left w:type="dxa" w:w="120"/>
              <w:bottom w:type="dxa" w:w="100"/>
              <w:right w:type="dxa" w:w="120"/>
            </w:tcMar>
          </w:tcPr>
          <w:p>
            <w:r>
              <w:rPr>
                <w:b w:val="false"/>
                <w:bCs w:val="false"/>
                <w:color w:val="000000"/>
                <w:sz w:val="20"/>
                <w:szCs w:val="20"/>
              </w:rPr>
              <w:t xml:space="preserve">Backend</w:t>
            </w:r>
          </w:p>
        </w:tc>
        <w:tc>
          <w:tcPr>
            <w:tcW w:type="dxa" w:w="7400"/>
            <w:tcMar>
              <w:top w:type="dxa" w:w="100"/>
              <w:left w:type="dxa" w:w="120"/>
              <w:bottom w:type="dxa" w:w="100"/>
              <w:right w:type="dxa" w:w="120"/>
            </w:tcMar>
          </w:tcPr>
          <w:p>
            <w:r>
              <w:rPr>
                <w:b w:val="false"/>
                <w:bCs w:val="false"/>
                <w:color w:val="000000"/>
                <w:sz w:val="20"/>
                <w:szCs w:val="20"/>
              </w:rPr>
              <w:t xml:space="preserve">Python, FastAPI</w:t>
            </w:r>
          </w:p>
        </w:tc>
      </w:tr>
      <w:tr>
        <w:tc>
          <w:tcPr>
            <w:tcW w:type="dxa" w:w="2600"/>
            <w:tcMar>
              <w:top w:type="dxa" w:w="100"/>
              <w:left w:type="dxa" w:w="120"/>
              <w:bottom w:type="dxa" w:w="100"/>
              <w:right w:type="dxa" w:w="120"/>
            </w:tcMar>
          </w:tcPr>
          <w:p>
            <w:r>
              <w:rPr>
                <w:b w:val="false"/>
                <w:bCs w:val="false"/>
                <w:color w:val="000000"/>
                <w:sz w:val="20"/>
                <w:szCs w:val="20"/>
              </w:rPr>
              <w:t xml:space="preserve">Storage</w:t>
            </w:r>
          </w:p>
        </w:tc>
        <w:tc>
          <w:tcPr>
            <w:tcW w:type="dxa" w:w="7400"/>
            <w:tcMar>
              <w:top w:type="dxa" w:w="100"/>
              <w:left w:type="dxa" w:w="120"/>
              <w:bottom w:type="dxa" w:w="100"/>
              <w:right w:type="dxa" w:w="120"/>
            </w:tcMar>
          </w:tcPr>
          <w:p>
            <w:r>
              <w:rPr>
                <w:b w:val="false"/>
                <w:bCs w:val="false"/>
                <w:color w:val="000000"/>
                <w:sz w:val="20"/>
                <w:szCs w:val="20"/>
              </w:rPr>
              <w:t xml:space="preserve">PostgreSQL — raw records, evidence, mappings, review history</w:t>
            </w:r>
          </w:p>
        </w:tc>
      </w:tr>
      <w:tr>
        <w:tc>
          <w:tcPr>
            <w:tcW w:type="dxa" w:w="2600"/>
            <w:tcMar>
              <w:top w:type="dxa" w:w="100"/>
              <w:left w:type="dxa" w:w="120"/>
              <w:bottom w:type="dxa" w:w="100"/>
              <w:right w:type="dxa" w:w="120"/>
            </w:tcMar>
          </w:tcPr>
          <w:p>
            <w:r>
              <w:rPr>
                <w:b w:val="false"/>
                <w:bCs w:val="false"/>
                <w:color w:val="000000"/>
                <w:sz w:val="20"/>
                <w:szCs w:val="20"/>
              </w:rPr>
              <w:t xml:space="preserve">Retrieval</w:t>
            </w:r>
          </w:p>
        </w:tc>
        <w:tc>
          <w:tcPr>
            <w:tcW w:type="dxa" w:w="7400"/>
            <w:tcMar>
              <w:top w:type="dxa" w:w="100"/>
              <w:left w:type="dxa" w:w="120"/>
              <w:bottom w:type="dxa" w:w="100"/>
              <w:right w:type="dxa" w:w="120"/>
            </w:tcMar>
          </w:tcPr>
          <w:p>
            <w:r>
              <w:rPr>
                <w:b w:val="false"/>
                <w:bCs w:val="false"/>
                <w:color w:val="000000"/>
                <w:sz w:val="20"/>
                <w:szCs w:val="20"/>
              </w:rPr>
              <w:t xml:space="preserve">In-memory embeddings (numpy/cosine); no vector DB needed at this scale</w:t>
            </w:r>
          </w:p>
        </w:tc>
      </w:tr>
      <w:tr>
        <w:tc>
          <w:tcPr>
            <w:tcW w:type="dxa" w:w="2600"/>
            <w:tcMar>
              <w:top w:type="dxa" w:w="100"/>
              <w:left w:type="dxa" w:w="120"/>
              <w:bottom w:type="dxa" w:w="100"/>
              <w:right w:type="dxa" w:w="120"/>
            </w:tcMar>
          </w:tcPr>
          <w:p>
            <w:r>
              <w:rPr>
                <w:b w:val="false"/>
                <w:bCs w:val="false"/>
                <w:color w:val="000000"/>
                <w:sz w:val="20"/>
                <w:szCs w:val="20"/>
              </w:rPr>
              <w:t xml:space="preserve">Matching</w:t>
            </w:r>
          </w:p>
        </w:tc>
        <w:tc>
          <w:tcPr>
            <w:tcW w:type="dxa" w:w="7400"/>
            <w:tcMar>
              <w:top w:type="dxa" w:w="100"/>
              <w:left w:type="dxa" w:w="120"/>
              <w:bottom w:type="dxa" w:w="100"/>
              <w:right w:type="dxa" w:w="120"/>
            </w:tcMar>
          </w:tcPr>
          <w:p>
            <w:r>
              <w:rPr>
                <w:b w:val="false"/>
                <w:bCs w:val="false"/>
                <w:color w:val="000000"/>
                <w:sz w:val="20"/>
                <w:szCs w:val="20"/>
              </w:rPr>
              <w:t xml:space="preserve">LLM call for extraction; pairwise verdict via LLM call or a small trained classifier (scikit-learn), structured JSON output either way</w:t>
            </w:r>
          </w:p>
        </w:tc>
      </w:tr>
      <w:tr>
        <w:tc>
          <w:tcPr>
            <w:tcW w:type="dxa" w:w="2600"/>
            <w:tcMar>
              <w:top w:type="dxa" w:w="100"/>
              <w:left w:type="dxa" w:w="120"/>
              <w:bottom w:type="dxa" w:w="100"/>
              <w:right w:type="dxa" w:w="120"/>
            </w:tcMar>
          </w:tcPr>
          <w:p>
            <w:r>
              <w:rPr>
                <w:b w:val="false"/>
                <w:bCs w:val="false"/>
                <w:color w:val="000000"/>
                <w:sz w:val="20"/>
                <w:szCs w:val="20"/>
              </w:rPr>
              <w:t xml:space="preserve">Conflict gates</w:t>
            </w:r>
          </w:p>
        </w:tc>
        <w:tc>
          <w:tcPr>
            <w:tcW w:type="dxa" w:w="7400"/>
            <w:tcMar>
              <w:top w:type="dxa" w:w="100"/>
              <w:left w:type="dxa" w:w="120"/>
              <w:bottom w:type="dxa" w:w="100"/>
              <w:right w:type="dxa" w:w="120"/>
            </w:tcMar>
          </w:tcPr>
          <w:p>
            <w:r>
              <w:rPr>
                <w:b w:val="false"/>
                <w:bCs w:val="false"/>
                <w:color w:val="000000"/>
                <w:sz w:val="20"/>
                <w:szCs w:val="20"/>
              </w:rPr>
              <w:t xml:space="preserve">Plain Python rule module, not ML</w:t>
            </w:r>
          </w:p>
        </w:tc>
      </w:tr>
      <w:tr>
        <w:tc>
          <w:tcPr>
            <w:tcW w:type="dxa" w:w="2600"/>
            <w:tcMar>
              <w:top w:type="dxa" w:w="100"/>
              <w:left w:type="dxa" w:w="120"/>
              <w:bottom w:type="dxa" w:w="100"/>
              <w:right w:type="dxa" w:w="120"/>
            </w:tcMar>
          </w:tcPr>
          <w:p>
            <w:r>
              <w:rPr>
                <w:b w:val="false"/>
                <w:bCs w:val="false"/>
                <w:color w:val="000000"/>
                <w:sz w:val="20"/>
                <w:szCs w:val="20"/>
              </w:rPr>
              <w:t xml:space="preserve">Relationship view</w:t>
            </w:r>
          </w:p>
        </w:tc>
        <w:tc>
          <w:tcPr>
            <w:tcW w:type="dxa" w:w="7400"/>
            <w:tcMar>
              <w:top w:type="dxa" w:w="100"/>
              <w:left w:type="dxa" w:w="120"/>
              <w:bottom w:type="dxa" w:w="100"/>
              <w:right w:type="dxa" w:w="120"/>
            </w:tcMar>
          </w:tcPr>
          <w:p>
            <w:r>
              <w:rPr>
                <w:b w:val="false"/>
                <w:bCs w:val="false"/>
                <w:color w:val="000000"/>
                <w:sz w:val="20"/>
                <w:szCs w:val="20"/>
              </w:rPr>
              <w:t xml:space="preserve">Lightweight graph library (react-force-graph or vis-network), used only for the closing visual</w:t>
            </w:r>
          </w:p>
        </w:tc>
      </w:tr>
      <w:tr>
        <w:tc>
          <w:tcPr>
            <w:tcW w:type="dxa" w:w="2600"/>
            <w:tcMar>
              <w:top w:type="dxa" w:w="100"/>
              <w:left w:type="dxa" w:w="120"/>
              <w:bottom w:type="dxa" w:w="100"/>
              <w:right w:type="dxa" w:w="120"/>
            </w:tcMar>
          </w:tcPr>
          <w:p>
            <w:r>
              <w:rPr>
                <w:b w:val="false"/>
                <w:bCs w:val="false"/>
                <w:color w:val="000000"/>
                <w:sz w:val="20"/>
                <w:szCs w:val="20"/>
              </w:rPr>
              <w:t xml:space="preserve">Deployment</w:t>
            </w:r>
          </w:p>
        </w:tc>
        <w:tc>
          <w:tcPr>
            <w:tcW w:type="dxa" w:w="7400"/>
            <w:tcMar>
              <w:top w:type="dxa" w:w="100"/>
              <w:left w:type="dxa" w:w="120"/>
              <w:bottom w:type="dxa" w:w="100"/>
              <w:right w:type="dxa" w:w="120"/>
            </w:tcMar>
          </w:tcPr>
          <w:p>
            <w:r>
              <w:rPr>
                <w:b w:val="false"/>
                <w:bCs w:val="false"/>
                <w:color w:val="000000"/>
                <w:sz w:val="20"/>
                <w:szCs w:val="20"/>
              </w:rPr>
              <w:t xml:space="preserve">Local processes for the demo — no containerization needed for two days</w:t>
            </w:r>
          </w:p>
        </w:tc>
      </w:tr>
    </w:tbl>
    <w:p>
      <w:pPr>
        <w:pStyle w:val="Heading1"/>
        <w:spacing w:after="160" w:before="320"/>
      </w:pPr>
      <w:r>
        <w:rPr>
          <w:b/>
          <w:bCs/>
          <w:color w:val="1F4E5C"/>
          <w:sz w:val="30"/>
          <w:szCs w:val="30"/>
        </w:rPr>
        <w:t xml:space="preserve">11. Team Split</w:t>
      </w:r>
    </w:p>
    <w:p>
      <w:pPr>
        <w:pStyle w:val="ListParagraph"/>
        <w:numPr>
          <w:ilvl w:val="0"/>
          <w:numId w:val="2"/>
        </w:numPr>
        <w:spacing w:after="80" w:line="276"/>
      </w:pPr>
      <w:r>
        <w:rPr>
          <w:sz w:val="21"/>
          <w:szCs w:val="21"/>
        </w:rPr>
        <w:t xml:space="preserve">Data &amp; domain rules (bolt schema, conflict-gate table, synthetic dataset): 2 people</w:t>
      </w:r>
    </w:p>
    <w:p>
      <w:pPr>
        <w:pStyle w:val="ListParagraph"/>
        <w:numPr>
          <w:ilvl w:val="0"/>
          <w:numId w:val="2"/>
        </w:numPr>
        <w:spacing w:after="80" w:line="276"/>
      </w:pPr>
      <w:r>
        <w:rPr>
          <w:sz w:val="21"/>
          <w:szCs w:val="21"/>
        </w:rPr>
        <w:t xml:space="preserve">Extraction &amp; retrieval pipeline (regex, LLM extraction, embeddings): 1–2 people</w:t>
      </w:r>
    </w:p>
    <w:p>
      <w:pPr>
        <w:pStyle w:val="ListParagraph"/>
        <w:numPr>
          <w:ilvl w:val="0"/>
          <w:numId w:val="2"/>
        </w:numPr>
        <w:spacing w:after="80" w:line="276"/>
      </w:pPr>
      <w:r>
        <w:rPr>
          <w:sz w:val="21"/>
          <w:szCs w:val="21"/>
        </w:rPr>
        <w:t xml:space="preserve">Backend, matching orchestration &amp; canonical registry: 1–2 people</w:t>
      </w:r>
    </w:p>
    <w:p>
      <w:pPr>
        <w:pStyle w:val="ListParagraph"/>
        <w:numPr>
          <w:ilvl w:val="0"/>
          <w:numId w:val="2"/>
        </w:numPr>
        <w:spacing w:after="80" w:line="276"/>
      </w:pPr>
      <w:r>
        <w:rPr>
          <w:sz w:val="21"/>
          <w:szCs w:val="21"/>
        </w:rPr>
        <w:t xml:space="preserve">Frontend (reconciliation desk, then graph view): 1–2 people</w:t>
      </w:r>
    </w:p>
    <w:p>
      <w:pPr>
        <w:spacing w:after="140" w:line="276"/>
      </w:pPr>
      <w:r>
        <w:rPr>
          <w:sz w:val="21"/>
          <w:szCs w:val="21"/>
        </w:rPr>
        <w:t xml:space="preserve">The schema and conflict-gate table from the first hours of Day 1 are the shared contract every track builds against — write it down somewhere everyone can reference, not just agreed upon verbally.</w:t>
      </w:r>
    </w:p>
    <w:p>
      <w:pPr>
        <w:pStyle w:val="Heading1"/>
        <w:spacing w:after="160" w:before="320"/>
      </w:pPr>
      <w:r>
        <w:rPr>
          <w:b/>
          <w:bCs/>
          <w:color w:val="1F4E5C"/>
          <w:sz w:val="30"/>
          <w:szCs w:val="30"/>
        </w:rPr>
        <w:t xml:space="preserve">12. Reference Data &amp; Resources</w:t>
      </w:r>
    </w:p>
    <w:p>
      <w:pPr>
        <w:spacing w:after="140" w:line="276"/>
      </w:pPr>
      <w:r>
        <w:rPr>
          <w:sz w:val="21"/>
          <w:szCs w:val="21"/>
        </w:rPr>
        <w:t xml:space="preserve">There is no pre-existing dataset of “the same industrial part described differently across multiple CPSEs” — that is proprietary internal ERP data, which is exactly why this problem statement exists. The resources below are not that dataset. They are real, publicly available references used to ground the synthetic seed identities (section 6) in genuine specifications rather than invented numbers, plus general-purpose benchmarks useful for sanity-checking the matching pipeline before trusting it on synthetic data.</w:t>
      </w:r>
    </w:p>
    <w:p>
      <w:pPr>
        <w:pStyle w:val="Heading2"/>
        <w:spacing w:after="120" w:before="260"/>
      </w:pPr>
      <w:r>
        <w:rPr>
          <w:b/>
          <w:bCs/>
          <w:color w:val="1F4E5C"/>
          <w:sz w:val="24"/>
          <w:szCs w:val="24"/>
        </w:rPr>
        <w:t xml:space="preserve">Bolt dimensions &amp; standards — for real seed attribute values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00"/>
      </w:tblGrid>
      <w:tr>
        <w:trPr>
          <w:tblHeader/>
        </w:trPr>
        <w:tc>
          <w:tcPr>
            <w:tcW w:type="dxa" w:w="2300"/>
            <w:shd w:fill="EAF2F3" w:val="clear"/>
            <w:tcMar>
              <w:top w:type="dxa" w:w="100"/>
              <w:left w:type="dxa" w:w="120"/>
              <w:bottom w:type="dxa" w:w="100"/>
              <w:right w:type="dxa" w:w="120"/>
            </w:tcMar>
          </w:tcPr>
          <w:p>
            <w:r>
              <w:rPr>
                <w:b/>
                <w:bCs/>
                <w:color w:val="1F4E5C"/>
                <w:sz w:val="20"/>
                <w:szCs w:val="20"/>
              </w:rPr>
              <w:t xml:space="preserve">Standard / Source</w:t>
            </w:r>
          </w:p>
        </w:tc>
        <w:tc>
          <w:tcPr>
            <w:tcW w:type="dxa" w:w="2100"/>
            <w:shd w:fill="EAF2F3" w:val="clear"/>
            <w:tcMar>
              <w:top w:type="dxa" w:w="100"/>
              <w:left w:type="dxa" w:w="120"/>
              <w:bottom w:type="dxa" w:w="100"/>
              <w:right w:type="dxa" w:w="120"/>
            </w:tcMar>
          </w:tcPr>
          <w:p>
            <w:r>
              <w:rPr>
                <w:b/>
                <w:bCs/>
                <w:color w:val="1F4E5C"/>
                <w:sz w:val="20"/>
                <w:szCs w:val="20"/>
              </w:rPr>
              <w:t xml:space="preserve">Link</w:t>
            </w:r>
          </w:p>
        </w:tc>
        <w:tc>
          <w:tcPr>
            <w:tcW w:type="dxa" w:w="4900"/>
            <w:shd w:fill="EAF2F3" w:val="clear"/>
            <w:tcMar>
              <w:top w:type="dxa" w:w="100"/>
              <w:left w:type="dxa" w:w="120"/>
              <w:bottom w:type="dxa" w:w="100"/>
              <w:right w:type="dxa" w:w="120"/>
            </w:tcMar>
          </w:tcPr>
          <w:p>
            <w:r>
              <w:rPr>
                <w:b/>
                <w:bCs/>
                <w:color w:val="1F4E5C"/>
                <w:sz w:val="20"/>
                <w:szCs w:val="20"/>
              </w:rPr>
              <w:t xml:space="preserve">Use it for</w:t>
            </w:r>
          </w:p>
        </w:tc>
      </w:tr>
      <w:tr>
        <w:tc>
          <w:tcPr>
            <w:tcW w:type="dxa" w:w="2300"/>
            <w:tcMar>
              <w:top w:type="dxa" w:w="100"/>
              <w:left w:type="dxa" w:w="120"/>
              <w:bottom w:type="dxa" w:w="100"/>
              <w:right w:type="dxa" w:w="120"/>
            </w:tcMar>
          </w:tcPr>
          <w:p>
            <w:r>
              <w:rPr>
                <w:b w:val="false"/>
                <w:bCs w:val="false"/>
                <w:color w:val="000000"/>
                <w:sz w:val="20"/>
                <w:szCs w:val="20"/>
              </w:rPr>
              <w:t xml:space="preserve">ASME B18.2.1 hex bolt size chart</w:t>
            </w:r>
          </w:p>
        </w:tc>
        <w:tc>
          <w:tcPr>
            <w:tcW w:type="dxa" w:w="2100"/>
            <w:tcMar>
              <w:top w:type="dxa" w:w="100"/>
              <w:left w:type="dxa" w:w="120"/>
              <w:bottom w:type="dxa" w:w="100"/>
              <w:right w:type="dxa" w:w="120"/>
            </w:tcMar>
          </w:tcPr>
          <w:p>
            <w:hyperlink w:history="1" r:id="rIduwcv_kxmmjls4gcr2ih22">
              <w:r>
                <w:rPr>
                  <w:color w:val="1155CC"/>
                  <w:sz w:val="20"/>
                  <w:szCs w:val="20"/>
                  <w:u w:val="single"/>
                </w:rPr>
                <w:t xml:space="preserve">thefastenerdepot.com</w:t>
              </w:r>
            </w:hyperlink>
          </w:p>
        </w:tc>
        <w:tc>
          <w:tcPr>
            <w:tcW w:type="dxa" w:w="4900"/>
            <w:tcMar>
              <w:top w:type="dxa" w:w="100"/>
              <w:left w:type="dxa" w:w="120"/>
              <w:bottom w:type="dxa" w:w="100"/>
              <w:right w:type="dxa" w:w="120"/>
            </w:tcMar>
          </w:tcPr>
          <w:p>
            <w:r>
              <w:rPr>
                <w:b w:val="false"/>
                <w:bCs w:val="false"/>
                <w:color w:val="000000"/>
                <w:sz w:val="20"/>
                <w:szCs w:val="20"/>
              </w:rPr>
              <w:t xml:space="preserve">Nominal diameter, body diameter, width across flats, head height per standard size (inch series)</w:t>
            </w:r>
          </w:p>
        </w:tc>
      </w:tr>
      <w:tr>
        <w:tc>
          <w:tcPr>
            <w:tcW w:type="dxa" w:w="2300"/>
            <w:tcMar>
              <w:top w:type="dxa" w:w="100"/>
              <w:left w:type="dxa" w:w="120"/>
              <w:bottom w:type="dxa" w:w="100"/>
              <w:right w:type="dxa" w:w="120"/>
            </w:tcMar>
          </w:tcPr>
          <w:p>
            <w:r>
              <w:rPr>
                <w:b w:val="false"/>
                <w:bCs w:val="false"/>
                <w:color w:val="000000"/>
                <w:sz w:val="20"/>
                <w:szCs w:val="20"/>
              </w:rPr>
              <w:t xml:space="preserve">Hex bolt size chart (ASME B18.2.1)</w:t>
            </w:r>
          </w:p>
        </w:tc>
        <w:tc>
          <w:tcPr>
            <w:tcW w:type="dxa" w:w="2100"/>
            <w:tcMar>
              <w:top w:type="dxa" w:w="100"/>
              <w:left w:type="dxa" w:w="120"/>
              <w:bottom w:type="dxa" w:w="100"/>
              <w:right w:type="dxa" w:w="120"/>
            </w:tcMar>
          </w:tcPr>
          <w:p>
            <w:hyperlink w:history="1" r:id="rIdxp-ywnlpd4p1vhiu9einr">
              <w:r>
                <w:rPr>
                  <w:color w:val="1155CC"/>
                  <w:sz w:val="20"/>
                  <w:szCs w:val="20"/>
                  <w:u w:val="single"/>
                </w:rPr>
                <w:t xml:space="preserve">amesweb.info</w:t>
              </w:r>
            </w:hyperlink>
          </w:p>
        </w:tc>
        <w:tc>
          <w:tcPr>
            <w:tcW w:type="dxa" w:w="4900"/>
            <w:tcMar>
              <w:top w:type="dxa" w:w="100"/>
              <w:left w:type="dxa" w:w="120"/>
              <w:bottom w:type="dxa" w:w="100"/>
              <w:right w:type="dxa" w:w="120"/>
            </w:tcMar>
          </w:tcPr>
          <w:p>
            <w:r>
              <w:rPr>
                <w:b w:val="false"/>
                <w:bCs w:val="false"/>
                <w:color w:val="000000"/>
                <w:sz w:val="20"/>
                <w:szCs w:val="20"/>
              </w:rPr>
              <w:t xml:space="preserve">Same standard, filterable table by nominal size</w:t>
            </w:r>
          </w:p>
        </w:tc>
      </w:tr>
      <w:tr>
        <w:tc>
          <w:tcPr>
            <w:tcW w:type="dxa" w:w="2300"/>
            <w:tcMar>
              <w:top w:type="dxa" w:w="100"/>
              <w:left w:type="dxa" w:w="120"/>
              <w:bottom w:type="dxa" w:w="100"/>
              <w:right w:type="dxa" w:w="120"/>
            </w:tcMar>
          </w:tcPr>
          <w:p>
            <w:r>
              <w:rPr>
                <w:b w:val="false"/>
                <w:bCs w:val="false"/>
                <w:color w:val="000000"/>
                <w:sz w:val="20"/>
                <w:szCs w:val="20"/>
              </w:rPr>
              <w:t xml:space="preserve">DIN 931/933 — ISO 4014/4017 dimensions</w:t>
            </w:r>
          </w:p>
        </w:tc>
        <w:tc>
          <w:tcPr>
            <w:tcW w:type="dxa" w:w="2100"/>
            <w:tcMar>
              <w:top w:type="dxa" w:w="100"/>
              <w:left w:type="dxa" w:w="120"/>
              <w:bottom w:type="dxa" w:w="100"/>
              <w:right w:type="dxa" w:w="120"/>
            </w:tcMar>
          </w:tcPr>
          <w:p>
            <w:hyperlink w:history="1" r:id="rIdjqiecjnmh7ksrnivmdea7">
              <w:r>
                <w:rPr>
                  <w:color w:val="1155CC"/>
                  <w:sz w:val="20"/>
                  <w:szCs w:val="20"/>
                  <w:u w:val="single"/>
                </w:rPr>
                <w:t xml:space="preserve">wermac.org</w:t>
              </w:r>
            </w:hyperlink>
          </w:p>
        </w:tc>
        <w:tc>
          <w:tcPr>
            <w:tcW w:type="dxa" w:w="4900"/>
            <w:tcMar>
              <w:top w:type="dxa" w:w="100"/>
              <w:left w:type="dxa" w:w="120"/>
              <w:bottom w:type="dxa" w:w="100"/>
              <w:right w:type="dxa" w:w="120"/>
            </w:tcMar>
          </w:tcPr>
          <w:p>
            <w:r>
              <w:rPr>
                <w:b w:val="false"/>
                <w:bCs w:val="false"/>
                <w:color w:val="000000"/>
                <w:sz w:val="20"/>
                <w:szCs w:val="20"/>
              </w:rPr>
              <w:t xml:space="preserve">Metric hex bolt dimensions and the “governing specification” field</w:t>
            </w:r>
          </w:p>
        </w:tc>
      </w:tr>
      <w:tr>
        <w:tc>
          <w:tcPr>
            <w:tcW w:type="dxa" w:w="2300"/>
            <w:tcMar>
              <w:top w:type="dxa" w:w="100"/>
              <w:left w:type="dxa" w:w="120"/>
              <w:bottom w:type="dxa" w:w="100"/>
              <w:right w:type="dxa" w:w="120"/>
            </w:tcMar>
          </w:tcPr>
          <w:p>
            <w:r>
              <w:rPr>
                <w:b w:val="false"/>
                <w:bCs w:val="false"/>
                <w:color w:val="000000"/>
                <w:sz w:val="20"/>
                <w:szCs w:val="20"/>
              </w:rPr>
              <w:t xml:space="preserve">Bolt Depot — fastener information &amp; metric charts</w:t>
            </w:r>
          </w:p>
        </w:tc>
        <w:tc>
          <w:tcPr>
            <w:tcW w:type="dxa" w:w="2100"/>
            <w:tcMar>
              <w:top w:type="dxa" w:w="100"/>
              <w:left w:type="dxa" w:w="120"/>
              <w:bottom w:type="dxa" w:w="100"/>
              <w:right w:type="dxa" w:w="120"/>
            </w:tcMar>
          </w:tcPr>
          <w:p>
            <w:hyperlink w:history="1" r:id="rIdosyalqquobnkfoea122la">
              <w:r>
                <w:rPr>
                  <w:color w:val="1155CC"/>
                  <w:sz w:val="20"/>
                  <w:szCs w:val="20"/>
                  <w:u w:val="single"/>
                </w:rPr>
                <w:t xml:space="preserve">boltdepot.com</w:t>
              </w:r>
            </w:hyperlink>
          </w:p>
        </w:tc>
        <w:tc>
          <w:tcPr>
            <w:tcW w:type="dxa" w:w="4900"/>
            <w:tcMar>
              <w:top w:type="dxa" w:w="100"/>
              <w:left w:type="dxa" w:w="120"/>
              <w:bottom w:type="dxa" w:w="100"/>
              <w:right w:type="dxa" w:w="120"/>
            </w:tcMar>
          </w:tcPr>
          <w:p>
            <w:r>
              <w:rPr>
                <w:b w:val="false"/>
                <w:bCs w:val="false"/>
                <w:color w:val="000000"/>
                <w:sz w:val="20"/>
                <w:szCs w:val="20"/>
              </w:rPr>
              <w:t xml:space="preserve">Head-type and finish naming conventions; printable diameter/thread charts</w:t>
            </w:r>
          </w:p>
        </w:tc>
      </w:tr>
    </w:tbl>
    <w:p>
      <w:pPr>
        <w:pStyle w:val="Heading2"/>
        <w:spacing w:after="120" w:before="260"/>
      </w:pPr>
      <w:r>
        <w:rPr>
          <w:b/>
          <w:bCs/>
          <w:color w:val="1F4E5C"/>
          <w:sz w:val="24"/>
          <w:szCs w:val="24"/>
        </w:rPr>
        <w:t xml:space="preserve">Grade specifications — for real conflict-pair values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00"/>
      </w:tblGrid>
      <w:tr>
        <w:trPr>
          <w:tblHeader/>
        </w:trPr>
        <w:tc>
          <w:tcPr>
            <w:tcW w:type="dxa" w:w="2300"/>
            <w:shd w:fill="EAF2F3" w:val="clear"/>
            <w:tcMar>
              <w:top w:type="dxa" w:w="100"/>
              <w:left w:type="dxa" w:w="120"/>
              <w:bottom w:type="dxa" w:w="100"/>
              <w:right w:type="dxa" w:w="120"/>
            </w:tcMar>
          </w:tcPr>
          <w:p>
            <w:r>
              <w:rPr>
                <w:b/>
                <w:bCs/>
                <w:color w:val="1F4E5C"/>
                <w:sz w:val="20"/>
                <w:szCs w:val="20"/>
              </w:rPr>
              <w:t xml:space="preserve">Standard / Source</w:t>
            </w:r>
          </w:p>
        </w:tc>
        <w:tc>
          <w:tcPr>
            <w:tcW w:type="dxa" w:w="2100"/>
            <w:shd w:fill="EAF2F3" w:val="clear"/>
            <w:tcMar>
              <w:top w:type="dxa" w:w="100"/>
              <w:left w:type="dxa" w:w="120"/>
              <w:bottom w:type="dxa" w:w="100"/>
              <w:right w:type="dxa" w:w="120"/>
            </w:tcMar>
          </w:tcPr>
          <w:p>
            <w:r>
              <w:rPr>
                <w:b/>
                <w:bCs/>
                <w:color w:val="1F4E5C"/>
                <w:sz w:val="20"/>
                <w:szCs w:val="20"/>
              </w:rPr>
              <w:t xml:space="preserve">Link</w:t>
            </w:r>
          </w:p>
        </w:tc>
        <w:tc>
          <w:tcPr>
            <w:tcW w:type="dxa" w:w="4900"/>
            <w:shd w:fill="EAF2F3" w:val="clear"/>
            <w:tcMar>
              <w:top w:type="dxa" w:w="100"/>
              <w:left w:type="dxa" w:w="120"/>
              <w:bottom w:type="dxa" w:w="100"/>
              <w:right w:type="dxa" w:w="120"/>
            </w:tcMar>
          </w:tcPr>
          <w:p>
            <w:r>
              <w:rPr>
                <w:b/>
                <w:bCs/>
                <w:color w:val="1F4E5C"/>
                <w:sz w:val="20"/>
                <w:szCs w:val="20"/>
              </w:rPr>
              <w:t xml:space="preserve">Use it for</w:t>
            </w:r>
          </w:p>
        </w:tc>
      </w:tr>
      <w:tr>
        <w:tc>
          <w:tcPr>
            <w:tcW w:type="dxa" w:w="2300"/>
            <w:tcMar>
              <w:top w:type="dxa" w:w="100"/>
              <w:left w:type="dxa" w:w="120"/>
              <w:bottom w:type="dxa" w:w="100"/>
              <w:right w:type="dxa" w:w="120"/>
            </w:tcMar>
          </w:tcPr>
          <w:p>
            <w:r>
              <w:rPr>
                <w:b w:val="false"/>
                <w:bCs w:val="false"/>
                <w:color w:val="000000"/>
                <w:sz w:val="20"/>
                <w:szCs w:val="20"/>
              </w:rPr>
              <w:t xml:space="preserve">ASTM A325 (structural bolts)</w:t>
            </w:r>
          </w:p>
        </w:tc>
        <w:tc>
          <w:tcPr>
            <w:tcW w:type="dxa" w:w="2100"/>
            <w:tcMar>
              <w:top w:type="dxa" w:w="100"/>
              <w:left w:type="dxa" w:w="120"/>
              <w:bottom w:type="dxa" w:w="100"/>
              <w:right w:type="dxa" w:w="120"/>
            </w:tcMar>
          </w:tcPr>
          <w:p>
            <w:hyperlink w:history="1" r:id="rId355y5f4ouyupbfgdcqwy5">
              <w:r>
                <w:rPr>
                  <w:color w:val="1155CC"/>
                  <w:sz w:val="20"/>
                  <w:szCs w:val="20"/>
                  <w:u w:val="single"/>
                </w:rPr>
                <w:t xml:space="preserve">en.wikipedia.org</w:t>
              </w:r>
            </w:hyperlink>
          </w:p>
        </w:tc>
        <w:tc>
          <w:tcPr>
            <w:tcW w:type="dxa" w:w="4900"/>
            <w:tcMar>
              <w:top w:type="dxa" w:w="100"/>
              <w:left w:type="dxa" w:w="120"/>
              <w:bottom w:type="dxa" w:w="100"/>
              <w:right w:type="dxa" w:w="120"/>
            </w:tcMar>
          </w:tcPr>
          <w:p>
            <w:r>
              <w:rPr>
                <w:b w:val="false"/>
                <w:bCs w:val="false"/>
                <w:color w:val="000000"/>
                <w:sz w:val="20"/>
                <w:szCs w:val="20"/>
              </w:rPr>
              <w:t xml:space="preserve">Real grade designation and strength range for a carbon/alloy steel grade</w:t>
            </w:r>
          </w:p>
        </w:tc>
      </w:tr>
      <w:tr>
        <w:tc>
          <w:tcPr>
            <w:tcW w:type="dxa" w:w="2300"/>
            <w:tcMar>
              <w:top w:type="dxa" w:w="100"/>
              <w:left w:type="dxa" w:w="120"/>
              <w:bottom w:type="dxa" w:w="100"/>
              <w:right w:type="dxa" w:w="120"/>
            </w:tcMar>
          </w:tcPr>
          <w:p>
            <w:r>
              <w:rPr>
                <w:b w:val="false"/>
                <w:bCs w:val="false"/>
                <w:color w:val="000000"/>
                <w:sz w:val="20"/>
                <w:szCs w:val="20"/>
              </w:rPr>
              <w:t xml:space="preserve">ASTM A490 (structural bolts)</w:t>
            </w:r>
          </w:p>
        </w:tc>
        <w:tc>
          <w:tcPr>
            <w:tcW w:type="dxa" w:w="2100"/>
            <w:tcMar>
              <w:top w:type="dxa" w:w="100"/>
              <w:left w:type="dxa" w:w="120"/>
              <w:bottom w:type="dxa" w:w="100"/>
              <w:right w:type="dxa" w:w="120"/>
            </w:tcMar>
          </w:tcPr>
          <w:p>
            <w:hyperlink w:history="1" r:id="rIdasjqsnj2v_hzfawskwovx">
              <w:r>
                <w:rPr>
                  <w:color w:val="1155CC"/>
                  <w:sz w:val="20"/>
                  <w:szCs w:val="20"/>
                  <w:u w:val="single"/>
                </w:rPr>
                <w:t xml:space="preserve">en.wikipedia.org</w:t>
              </w:r>
            </w:hyperlink>
          </w:p>
        </w:tc>
        <w:tc>
          <w:tcPr>
            <w:tcW w:type="dxa" w:w="4900"/>
            <w:tcMar>
              <w:top w:type="dxa" w:w="100"/>
              <w:left w:type="dxa" w:w="120"/>
              <w:bottom w:type="dxa" w:w="100"/>
              <w:right w:type="dxa" w:w="120"/>
            </w:tcMar>
          </w:tcPr>
          <w:p>
            <w:r>
              <w:rPr>
                <w:b w:val="false"/>
                <w:bCs w:val="false"/>
                <w:color w:val="000000"/>
                <w:sz w:val="20"/>
                <w:szCs w:val="20"/>
              </w:rPr>
              <w:t xml:space="preserve">A second real grade, useful as a deliberate grade-conflict pair against A325</w:t>
            </w:r>
          </w:p>
        </w:tc>
      </w:tr>
    </w:tbl>
    <w:p>
      <w:pPr>
        <w:spacing w:after="140" w:line="276"/>
      </w:pPr>
      <w:r>
        <w:rPr>
          <w:sz w:val="21"/>
          <w:szCs w:val="21"/>
        </w:rPr>
        <w:t xml:space="preserve">A2-70 and A4-70 (ISO 3506 stainless steel property classes) are the other real grade pair used in the worked example — A2 corresponds to 304-type stainless and A4 to 316-type, with ‘70’ denoting the tensile strength grade. These do not need a separate link; they are standard, stable designations.</w:t>
      </w:r>
    </w:p>
    <w:p>
      <w:pPr>
        <w:pStyle w:val="Heading2"/>
        <w:spacing w:after="120" w:before="260"/>
      </w:pPr>
      <w:r>
        <w:rPr>
          <w:b/>
          <w:bCs/>
          <w:color w:val="1F4E5C"/>
          <w:sz w:val="24"/>
          <w:szCs w:val="24"/>
        </w:rPr>
        <w:t xml:space="preserve">Classification backbone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00"/>
      </w:tblGrid>
      <w:tr>
        <w:trPr>
          <w:tblHeader/>
        </w:trPr>
        <w:tc>
          <w:tcPr>
            <w:tcW w:type="dxa" w:w="2300"/>
            <w:shd w:fill="EAF2F3" w:val="clear"/>
            <w:tcMar>
              <w:top w:type="dxa" w:w="100"/>
              <w:left w:type="dxa" w:w="120"/>
              <w:bottom w:type="dxa" w:w="100"/>
              <w:right w:type="dxa" w:w="120"/>
            </w:tcMar>
          </w:tcPr>
          <w:p>
            <w:r>
              <w:rPr>
                <w:b/>
                <w:bCs/>
                <w:color w:val="1F4E5C"/>
                <w:sz w:val="20"/>
                <w:szCs w:val="20"/>
              </w:rPr>
              <w:t xml:space="preserve">Standard / Source</w:t>
            </w:r>
          </w:p>
        </w:tc>
        <w:tc>
          <w:tcPr>
            <w:tcW w:type="dxa" w:w="2100"/>
            <w:shd w:fill="EAF2F3" w:val="clear"/>
            <w:tcMar>
              <w:top w:type="dxa" w:w="100"/>
              <w:left w:type="dxa" w:w="120"/>
              <w:bottom w:type="dxa" w:w="100"/>
              <w:right w:type="dxa" w:w="120"/>
            </w:tcMar>
          </w:tcPr>
          <w:p>
            <w:r>
              <w:rPr>
                <w:b/>
                <w:bCs/>
                <w:color w:val="1F4E5C"/>
                <w:sz w:val="20"/>
                <w:szCs w:val="20"/>
              </w:rPr>
              <w:t xml:space="preserve">Link</w:t>
            </w:r>
          </w:p>
        </w:tc>
        <w:tc>
          <w:tcPr>
            <w:tcW w:type="dxa" w:w="4900"/>
            <w:shd w:fill="EAF2F3" w:val="clear"/>
            <w:tcMar>
              <w:top w:type="dxa" w:w="100"/>
              <w:left w:type="dxa" w:w="120"/>
              <w:bottom w:type="dxa" w:w="100"/>
              <w:right w:type="dxa" w:w="120"/>
            </w:tcMar>
          </w:tcPr>
          <w:p>
            <w:r>
              <w:rPr>
                <w:b/>
                <w:bCs/>
                <w:color w:val="1F4E5C"/>
                <w:sz w:val="20"/>
                <w:szCs w:val="20"/>
              </w:rPr>
              <w:t xml:space="preserve">Use it for</w:t>
            </w:r>
          </w:p>
        </w:tc>
      </w:tr>
      <w:tr>
        <w:tc>
          <w:tcPr>
            <w:tcW w:type="dxa" w:w="2300"/>
            <w:tcMar>
              <w:top w:type="dxa" w:w="100"/>
              <w:left w:type="dxa" w:w="120"/>
              <w:bottom w:type="dxa" w:w="100"/>
              <w:right w:type="dxa" w:w="120"/>
            </w:tcMar>
          </w:tcPr>
          <w:p>
            <w:r>
              <w:rPr>
                <w:b w:val="false"/>
                <w:bCs w:val="false"/>
                <w:color w:val="000000"/>
                <w:sz w:val="20"/>
                <w:szCs w:val="20"/>
              </w:rPr>
              <w:t xml:space="preserve">UNSPSC codeset (free download)</w:t>
            </w:r>
          </w:p>
        </w:tc>
        <w:tc>
          <w:tcPr>
            <w:tcW w:type="dxa" w:w="2100"/>
            <w:tcMar>
              <w:top w:type="dxa" w:w="100"/>
              <w:left w:type="dxa" w:w="120"/>
              <w:bottom w:type="dxa" w:w="100"/>
              <w:right w:type="dxa" w:w="120"/>
            </w:tcMar>
          </w:tcPr>
          <w:p>
            <w:hyperlink w:history="1" r:id="rIdymyhwojgjzjlovlf7x4nz">
              <w:r>
                <w:rPr>
                  <w:color w:val="1155CC"/>
                  <w:sz w:val="20"/>
                  <w:szCs w:val="20"/>
                  <w:u w:val="single"/>
                </w:rPr>
                <w:t xml:space="preserve">unspsc.org</w:t>
              </w:r>
            </w:hyperlink>
          </w:p>
        </w:tc>
        <w:tc>
          <w:tcPr>
            <w:tcW w:type="dxa" w:w="4900"/>
            <w:tcMar>
              <w:top w:type="dxa" w:w="100"/>
              <w:left w:type="dxa" w:w="120"/>
              <w:bottom w:type="dxa" w:w="100"/>
              <w:right w:type="dxa" w:w="120"/>
            </w:tcMar>
          </w:tcPr>
          <w:p>
            <w:r>
              <w:rPr>
                <w:b w:val="false"/>
                <w:bCs w:val="false"/>
                <w:color w:val="000000"/>
                <w:sz w:val="20"/>
                <w:szCs w:val="20"/>
              </w:rPr>
              <w:t xml:space="preserve">Anchoring the “Common National Material Code” to an existing, real classification hierarchy instead of an invented one</w:t>
            </w:r>
          </w:p>
        </w:tc>
      </w:tr>
      <w:tr>
        <w:tc>
          <w:tcPr>
            <w:tcW w:type="dxa" w:w="2300"/>
            <w:tcMar>
              <w:top w:type="dxa" w:w="100"/>
              <w:left w:type="dxa" w:w="120"/>
              <w:bottom w:type="dxa" w:w="100"/>
              <w:right w:type="dxa" w:w="120"/>
            </w:tcMar>
          </w:tcPr>
          <w:p>
            <w:r>
              <w:rPr>
                <w:b w:val="false"/>
                <w:bCs w:val="false"/>
                <w:color w:val="000000"/>
                <w:sz w:val="20"/>
                <w:szCs w:val="20"/>
              </w:rPr>
              <w:t xml:space="preserve">UNSPSC overview</w:t>
            </w:r>
          </w:p>
        </w:tc>
        <w:tc>
          <w:tcPr>
            <w:tcW w:type="dxa" w:w="2100"/>
            <w:tcMar>
              <w:top w:type="dxa" w:w="100"/>
              <w:left w:type="dxa" w:w="120"/>
              <w:bottom w:type="dxa" w:w="100"/>
              <w:right w:type="dxa" w:w="120"/>
            </w:tcMar>
          </w:tcPr>
          <w:p>
            <w:hyperlink w:history="1" r:id="rIdce4mg7s6vsak15qyyfxf9">
              <w:r>
                <w:rPr>
                  <w:color w:val="1155CC"/>
                  <w:sz w:val="20"/>
                  <w:szCs w:val="20"/>
                  <w:u w:val="single"/>
                </w:rPr>
                <w:t xml:space="preserve">undp.org</w:t>
              </w:r>
            </w:hyperlink>
          </w:p>
        </w:tc>
        <w:tc>
          <w:tcPr>
            <w:tcW w:type="dxa" w:w="4900"/>
            <w:tcMar>
              <w:top w:type="dxa" w:w="100"/>
              <w:left w:type="dxa" w:w="120"/>
              <w:bottom w:type="dxa" w:w="100"/>
              <w:right w:type="dxa" w:w="120"/>
            </w:tcMar>
          </w:tcPr>
          <w:p>
            <w:r>
              <w:rPr>
                <w:b w:val="false"/>
                <w:bCs w:val="false"/>
                <w:color w:val="000000"/>
                <w:sz w:val="20"/>
                <w:szCs w:val="20"/>
              </w:rPr>
              <w:t xml:space="preserve">Background on the classification's structure and governance</w:t>
            </w:r>
          </w:p>
        </w:tc>
      </w:tr>
    </w:tbl>
    <w:p>
      <w:pPr>
        <w:pStyle w:val="Heading2"/>
        <w:spacing w:after="120" w:before="260"/>
      </w:pPr>
      <w:r>
        <w:rPr>
          <w:b/>
          <w:bCs/>
          <w:color w:val="1F4E5C"/>
          <w:sz w:val="24"/>
          <w:szCs w:val="24"/>
        </w:rPr>
        <w:t xml:space="preserve">General-purpose matching benchmarks — for sanity-checking pipeline mechanics</w:t>
      </w:r>
    </w:p>
    <w:p>
      <w:pPr>
        <w:spacing w:after="140" w:line="276"/>
      </w:pPr>
      <w:r>
        <w:rPr>
          <w:sz w:val="21"/>
          <w:szCs w:val="21"/>
        </w:rPr>
        <w:t xml:space="preserve">These are real, freely downloadable entity-matching datasets — not industrial materials (they cover categories like electronics, cameras, watches, and shoes), and not a substitute for the synthetic bolt dataset. Useful only as a check that retrieval and matching logic behaves sensibly on real noisy data before relying on it for the demo.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00"/>
      </w:tblGrid>
      <w:tr>
        <w:trPr>
          <w:tblHeader/>
        </w:trPr>
        <w:tc>
          <w:tcPr>
            <w:tcW w:type="dxa" w:w="2300"/>
            <w:shd w:fill="EAF2F3" w:val="clear"/>
            <w:tcMar>
              <w:top w:type="dxa" w:w="100"/>
              <w:left w:type="dxa" w:w="120"/>
              <w:bottom w:type="dxa" w:w="100"/>
              <w:right w:type="dxa" w:w="120"/>
            </w:tcMar>
          </w:tcPr>
          <w:p>
            <w:r>
              <w:rPr>
                <w:b/>
                <w:bCs/>
                <w:color w:val="1F4E5C"/>
                <w:sz w:val="20"/>
                <w:szCs w:val="20"/>
              </w:rPr>
              <w:t xml:space="preserve">Dataset</w:t>
            </w:r>
          </w:p>
        </w:tc>
        <w:tc>
          <w:tcPr>
            <w:tcW w:type="dxa" w:w="2100"/>
            <w:shd w:fill="EAF2F3" w:val="clear"/>
            <w:tcMar>
              <w:top w:type="dxa" w:w="100"/>
              <w:left w:type="dxa" w:w="120"/>
              <w:bottom w:type="dxa" w:w="100"/>
              <w:right w:type="dxa" w:w="120"/>
            </w:tcMar>
          </w:tcPr>
          <w:p>
            <w:r>
              <w:rPr>
                <w:b/>
                <w:bCs/>
                <w:color w:val="1F4E5C"/>
                <w:sz w:val="20"/>
                <w:szCs w:val="20"/>
              </w:rPr>
              <w:t xml:space="preserve">Link</w:t>
            </w:r>
          </w:p>
        </w:tc>
        <w:tc>
          <w:tcPr>
            <w:tcW w:type="dxa" w:w="4900"/>
            <w:shd w:fill="EAF2F3" w:val="clear"/>
            <w:tcMar>
              <w:top w:type="dxa" w:w="100"/>
              <w:left w:type="dxa" w:w="120"/>
              <w:bottom w:type="dxa" w:w="100"/>
              <w:right w:type="dxa" w:w="120"/>
            </w:tcMar>
          </w:tcPr>
          <w:p>
            <w:r>
              <w:rPr>
                <w:b/>
                <w:bCs/>
                <w:color w:val="1F4E5C"/>
                <w:sz w:val="20"/>
                <w:szCs w:val="20"/>
              </w:rPr>
              <w:t xml:space="preserve">Use it for</w:t>
            </w:r>
          </w:p>
        </w:tc>
      </w:tr>
      <w:tr>
        <w:tc>
          <w:tcPr>
            <w:tcW w:type="dxa" w:w="2300"/>
            <w:tcMar>
              <w:top w:type="dxa" w:w="100"/>
              <w:left w:type="dxa" w:w="120"/>
              <w:bottom w:type="dxa" w:w="100"/>
              <w:right w:type="dxa" w:w="120"/>
            </w:tcMar>
          </w:tcPr>
          <w:p>
            <w:r>
              <w:rPr>
                <w:b w:val="false"/>
                <w:bCs w:val="false"/>
                <w:color w:val="000000"/>
                <w:sz w:val="20"/>
                <w:szCs w:val="20"/>
              </w:rPr>
              <w:t xml:space="preserve">WDC Training &amp; Test Sets for Product Matching</w:t>
            </w:r>
          </w:p>
        </w:tc>
        <w:tc>
          <w:tcPr>
            <w:tcW w:type="dxa" w:w="2100"/>
            <w:tcMar>
              <w:top w:type="dxa" w:w="100"/>
              <w:left w:type="dxa" w:w="120"/>
              <w:bottom w:type="dxa" w:w="100"/>
              <w:right w:type="dxa" w:w="120"/>
            </w:tcMar>
          </w:tcPr>
          <w:p>
            <w:hyperlink w:history="1" r:id="rIdteg39v7alrj_kcwx81wvj">
              <w:r>
                <w:rPr>
                  <w:color w:val="1155CC"/>
                  <w:sz w:val="20"/>
                  <w:szCs w:val="20"/>
                  <w:u w:val="single"/>
                </w:rPr>
                <w:t xml:space="preserve">webdatacommons.org</w:t>
              </w:r>
            </w:hyperlink>
          </w:p>
        </w:tc>
        <w:tc>
          <w:tcPr>
            <w:tcW w:type="dxa" w:w="4900"/>
            <w:tcMar>
              <w:top w:type="dxa" w:w="100"/>
              <w:left w:type="dxa" w:w="120"/>
              <w:bottom w:type="dxa" w:w="100"/>
              <w:right w:type="dxa" w:w="120"/>
            </w:tcMar>
          </w:tcPr>
          <w:p>
            <w:r>
              <w:rPr>
                <w:b w:val="false"/>
                <w:bCs w:val="false"/>
                <w:color w:val="000000"/>
                <w:sz w:val="20"/>
                <w:szCs w:val="20"/>
              </w:rPr>
              <w:t xml:space="preserve">Pre-labeled product pairs across several sizes, with a manually-checked test set, for validating matching logic generically</w:t>
            </w:r>
          </w:p>
        </w:tc>
      </w:tr>
    </w:tbl>
    <w:p>
      <w:pPr>
        <w:pStyle w:val="Heading1"/>
        <w:spacing w:after="160" w:before="320"/>
      </w:pPr>
      <w:r>
        <w:rPr>
          <w:b/>
          <w:bCs/>
          <w:color w:val="1F4E5C"/>
          <w:sz w:val="30"/>
          <w:szCs w:val="30"/>
        </w:rPr>
        <w:t xml:space="preserve">13. The Pitch</w:t>
      </w:r>
    </w:p>
    <w:p>
      <w:pPr>
        <w:pBdr>
          <w:left w:val="single" w:color="1F4E5C" w:sz="18" w:space="8"/>
        </w:pBdr>
        <w:spacing w:after="200" w:before="120" w:line="276"/>
        <w:ind w:left="360"/>
      </w:pPr>
      <w:r>
        <w:rPr>
          <w:i/>
          <w:iCs/>
          <w:color w:val="333333"/>
          <w:sz w:val="21"/>
          <w:szCs w:val="21"/>
        </w:rPr>
        <w:t xml:space="preserve">We do not just find similar material descriptions. We establish material identity, expose conflicting specifications, and preserve the evidence behind every mapping.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wcv_kxmmjls4gcr2ih22" Type="http://schemas.openxmlformats.org/officeDocument/2006/relationships/hyperlink" Target="https://thefastenerdepot.com/blogs/news/bolt-size-chart" TargetMode="External"/><Relationship Id="rIdxp-ywnlpd4p1vhiu9einr" Type="http://schemas.openxmlformats.org/officeDocument/2006/relationships/hyperlink" Target="https://amesweb.info/Fasteners/Bolts/hex-bolt-size-chart.aspx" TargetMode="External"/><Relationship Id="rIdjqiecjnmh7ksrnivmdea7" Type="http://schemas.openxmlformats.org/officeDocument/2006/relationships/hyperlink" Target="https://www.wermac.org/bolts/metricBDC.html" TargetMode="External"/><Relationship Id="rIdosyalqquobnkfoea122la" Type="http://schemas.openxmlformats.org/officeDocument/2006/relationships/hyperlink" Target="https://boltdepot.com/Fastener-Information/Bolts" TargetMode="External"/><Relationship Id="rId355y5f4ouyupbfgdcqwy5" Type="http://schemas.openxmlformats.org/officeDocument/2006/relationships/hyperlink" Target="https://en.wikipedia.org/wiki/ASTM_A325" TargetMode="External"/><Relationship Id="rIdasjqsnj2v_hzfawskwovx" Type="http://schemas.openxmlformats.org/officeDocument/2006/relationships/hyperlink" Target="https://en.wikipedia.org/wiki/ASTM_A490" TargetMode="External"/><Relationship Id="rIdymyhwojgjzjlovlf7x4nz" Type="http://schemas.openxmlformats.org/officeDocument/2006/relationships/hyperlink" Target="https://www.unspsc.org/codeset-downloads" TargetMode="External"/><Relationship Id="rIdce4mg7s6vsak15qyyfxf9" Type="http://schemas.openxmlformats.org/officeDocument/2006/relationships/hyperlink" Target="https://www.undp.org/unspsc" TargetMode="External"/><Relationship Id="rIdteg39v7alrj_kcwx81wvj" Type="http://schemas.openxmlformats.org/officeDocument/2006/relationships/hyperlink" Target="https://webdatacommons.org/largescaleproductcorpus/v2/index.htm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2026-09-08T17:33:46.835Z</dcterms:created>
  <dcterms:modified xsi:type="dcterms:W3CDTF">2026-09-08T17:33:46.836Z</dcterms:modified>
</cp:coreProperties>
</file>

<file path=docProps/custom.xml><?xml version="1.0" encoding="utf-8"?>
<Properties xmlns="http://schemas.openxmlformats.org/officeDocument/2006/custom-properties" xmlns:vt="http://schemas.openxmlformats.org/officeDocument/2006/docPropsVTypes"/>
</file>