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6288EE34"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189D26B8"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78964C20" w:rsidR="00720545" w:rsidRDefault="00000000">
            <w:pPr>
              <w:rPr>
                <w:rFonts w:ascii="Arial" w:eastAsia="Arial" w:hAnsi="Arial" w:cs="Arial"/>
              </w:rPr>
            </w:pPr>
            <w:r>
              <w:rPr>
                <w:rFonts w:ascii="Arial" w:eastAsia="Arial" w:hAnsi="Arial" w:cs="Arial"/>
              </w:rPr>
              <w:t>2</w:t>
            </w:r>
            <w:r w:rsidR="007438C5">
              <w:rPr>
                <w:rFonts w:ascii="Arial" w:eastAsia="Arial" w:hAnsi="Arial" w:cs="Arial"/>
              </w:rPr>
              <w:t>4</w:t>
            </w:r>
            <w:r>
              <w:rPr>
                <w:rFonts w:ascii="Arial" w:eastAsia="Arial" w:hAnsi="Arial" w:cs="Arial"/>
              </w:rPr>
              <w:t xml:space="preserve"> </w:t>
            </w:r>
            <w:r w:rsidR="009B2F4A">
              <w:rPr>
                <w:rFonts w:ascii="Arial" w:eastAsia="Arial" w:hAnsi="Arial" w:cs="Arial"/>
              </w:rPr>
              <w:t>June</w:t>
            </w:r>
            <w:r w:rsidR="00642171">
              <w:rPr>
                <w:rFonts w:ascii="Arial" w:eastAsia="Arial" w:hAnsi="Arial" w:cs="Arial"/>
              </w:rPr>
              <w:t xml:space="preserve"> </w:t>
            </w:r>
            <w:r>
              <w:rPr>
                <w:rFonts w:ascii="Arial" w:eastAsia="Arial" w:hAnsi="Arial" w:cs="Arial"/>
              </w:rPr>
              <w:t>202</w:t>
            </w:r>
            <w:r w:rsidR="009B2F4A">
              <w:rPr>
                <w:rFonts w:ascii="Arial" w:eastAsia="Arial" w:hAnsi="Arial" w:cs="Arial"/>
              </w:rPr>
              <w:t>5</w:t>
            </w:r>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1D354C95" w14:textId="0B22672C" w:rsidR="00720545" w:rsidRDefault="007438C5" w:rsidP="009B2F4A">
            <w:pPr>
              <w:rPr>
                <w:rFonts w:ascii="Arial" w:eastAsia="Arial" w:hAnsi="Arial" w:cs="Arial"/>
              </w:rPr>
            </w:pPr>
            <w:r w:rsidRPr="007438C5">
              <w:rPr>
                <w:rFonts w:ascii="Times New Roman" w:eastAsia="Times New Roman" w:hAnsi="Times New Roman" w:cs="Times New Roman"/>
                <w:color w:val="000000"/>
                <w:sz w:val="24"/>
                <w:szCs w:val="24"/>
              </w:rPr>
              <w:t>Power BI Inflation Analysis – Journeying Through Global Economic Terrain</w:t>
            </w:r>
          </w:p>
        </w:tc>
      </w:tr>
      <w:tr w:rsidR="00720545" w14:paraId="52F170A6" w14:textId="77777777">
        <w:trPr>
          <w:jc w:val="center"/>
        </w:trPr>
        <w:tc>
          <w:tcPr>
            <w:tcW w:w="4508" w:type="dxa"/>
          </w:tcPr>
          <w:p w14:paraId="2A03D322" w14:textId="2E089207" w:rsidR="00720545" w:rsidRDefault="00000000">
            <w:pPr>
              <w:rPr>
                <w:rFonts w:ascii="Arial" w:eastAsia="Arial" w:hAnsi="Arial" w:cs="Arial"/>
              </w:rPr>
            </w:pPr>
            <w:r>
              <w:rPr>
                <w:rFonts w:ascii="Arial" w:eastAsia="Arial" w:hAnsi="Arial" w:cs="Arial"/>
              </w:rPr>
              <w:t>Maximum Marks</w:t>
            </w:r>
          </w:p>
        </w:tc>
        <w:tc>
          <w:tcPr>
            <w:tcW w:w="4843" w:type="dxa"/>
          </w:tcPr>
          <w:p w14:paraId="6FC77C1E" w14:textId="6FB6D9AC" w:rsidR="00720545" w:rsidRDefault="00A20696">
            <w:pPr>
              <w:rPr>
                <w:rFonts w:ascii="Arial" w:eastAsia="Arial" w:hAnsi="Arial" w:cs="Arial"/>
              </w:rPr>
            </w:pPr>
            <w:r>
              <w:rPr>
                <w:rFonts w:ascii="Arial" w:eastAsia="Arial" w:hAnsi="Arial" w:cs="Arial"/>
              </w:rPr>
              <w:t>5 Marks</w:t>
            </w:r>
          </w:p>
        </w:tc>
      </w:tr>
    </w:tbl>
    <w:p w14:paraId="137B83EC" w14:textId="22AD30F5" w:rsidR="00720545" w:rsidRDefault="00720545">
      <w:pPr>
        <w:rPr>
          <w:rFonts w:ascii="Cambria" w:eastAsia="Cambria" w:hAnsi="Cambria" w:cs="Cambria"/>
          <w:color w:val="000000"/>
          <w:sz w:val="24"/>
          <w:szCs w:val="24"/>
          <w:highlight w:val="white"/>
        </w:rPr>
      </w:pPr>
    </w:p>
    <w:p w14:paraId="17C75643" w14:textId="6E4A4771" w:rsidR="00A20696" w:rsidRPr="00D10015" w:rsidRDefault="005A1A99" w:rsidP="00A20696">
      <w:pPr>
        <w:pBdr>
          <w:top w:val="nil"/>
          <w:left w:val="nil"/>
          <w:bottom w:val="nil"/>
          <w:right w:val="nil"/>
          <w:between w:val="nil"/>
        </w:pBdr>
        <w:spacing w:after="200" w:line="240" w:lineRule="auto"/>
        <w:ind w:left="284"/>
        <w:jc w:val="both"/>
        <w:rPr>
          <w:rFonts w:ascii="Times New Roman" w:eastAsia="Cambria" w:hAnsi="Times New Roman" w:cs="Times New Roman"/>
          <w:sz w:val="24"/>
          <w:szCs w:val="24"/>
        </w:rPr>
      </w:pPr>
      <w:r w:rsidRPr="005A1A99">
        <w:rPr>
          <w:rFonts w:ascii="Times New Roman" w:eastAsia="Times New Roman" w:hAnsi="Times New Roman" w:cs="Times New Roman"/>
          <w:sz w:val="24"/>
          <w:szCs w:val="24"/>
        </w:rPr>
        <w:t xml:space="preserve">A </w:t>
      </w:r>
      <w:r w:rsidRPr="005A1A99">
        <w:rPr>
          <w:rFonts w:ascii="Times New Roman" w:eastAsia="Times New Roman" w:hAnsi="Times New Roman" w:cs="Times New Roman"/>
          <w:b/>
          <w:bCs/>
          <w:sz w:val="24"/>
          <w:szCs w:val="24"/>
        </w:rPr>
        <w:t>report</w:t>
      </w:r>
      <w:r w:rsidRPr="005A1A99">
        <w:rPr>
          <w:rFonts w:ascii="Times New Roman" w:eastAsia="Times New Roman" w:hAnsi="Times New Roman" w:cs="Times New Roman"/>
          <w:sz w:val="24"/>
          <w:szCs w:val="24"/>
        </w:rPr>
        <w:t xml:space="preserve"> is a structured document that presents the findings and insights derived from data analysis. It provides a comprehensive view for stakeholders, policymakers, and analysts, enabling informed decisions based on historical trends and measurable indicators. In Power BI, report creation involves loading data, designing visuals, customizing formats, and organizing insights for clarity and depth. This report explores global inflation trends, variations by region, inflation spikes, and category-based summaries using dynamic, interactive visuals.</w:t>
      </w:r>
    </w:p>
    <w:p w14:paraId="29E6CBAE" w14:textId="7F9FBCCD" w:rsidR="00720545" w:rsidRPr="009B2F4A" w:rsidRDefault="00000000" w:rsidP="009B2F4A">
      <w:pPr>
        <w:shd w:val="clear" w:color="auto" w:fill="FFFFFF"/>
        <w:jc w:val="center"/>
        <w:rPr>
          <w:sz w:val="20"/>
          <w:szCs w:val="20"/>
          <w:highlight w:val="white"/>
        </w:rPr>
      </w:pPr>
      <w:r>
        <w:rPr>
          <w:sz w:val="20"/>
          <w:szCs w:val="20"/>
        </w:rPr>
        <w:t xml:space="preserve">                    </w:t>
      </w:r>
    </w:p>
    <w:p w14:paraId="5E678C7C" w14:textId="673E2B5E"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526F0F93" w14:textId="65890015" w:rsidR="00A20696" w:rsidRPr="00F31194" w:rsidRDefault="00642171"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 xml:space="preserve">1. </w:t>
      </w:r>
      <w:r w:rsidR="00A20696" w:rsidRPr="00F31194">
        <w:rPr>
          <w:rFonts w:ascii="Times New Roman" w:eastAsia="Arial" w:hAnsi="Times New Roman" w:cs="Times New Roman"/>
          <w:b/>
          <w:bCs/>
          <w:color w:val="000000"/>
          <w:sz w:val="24"/>
          <w:szCs w:val="24"/>
        </w:rPr>
        <w:t>Trends Over Time</w:t>
      </w:r>
      <w:r w:rsidR="00A20696" w:rsidRPr="00F31194">
        <w:rPr>
          <w:rFonts w:ascii="Times New Roman" w:eastAsia="Arial" w:hAnsi="Times New Roman" w:cs="Times New Roman"/>
          <w:color w:val="000000"/>
          <w:sz w:val="24"/>
          <w:szCs w:val="24"/>
        </w:rPr>
        <w:t>:</w:t>
      </w:r>
    </w:p>
    <w:p w14:paraId="5BFD80AD" w14:textId="624A6069" w:rsidR="00F31194" w:rsidRPr="00F31194" w:rsidRDefault="005A1A99" w:rsidP="00F31194">
      <w:pPr>
        <w:pBdr>
          <w:top w:val="nil"/>
          <w:left w:val="nil"/>
          <w:bottom w:val="nil"/>
          <w:right w:val="nil"/>
          <w:between w:val="nil"/>
        </w:pBdr>
        <w:spacing w:after="200" w:line="240" w:lineRule="auto"/>
        <w:jc w:val="both"/>
        <w:rPr>
          <w:rFonts w:ascii="Times New Roman" w:eastAsia="Arial" w:hAnsi="Times New Roman" w:cs="Times New Roman"/>
          <w:b/>
          <w:bCs/>
          <w:color w:val="000000"/>
          <w:sz w:val="24"/>
          <w:szCs w:val="24"/>
        </w:rPr>
      </w:pPr>
      <w:r w:rsidRPr="005A1A99">
        <w:rPr>
          <w:rFonts w:ascii="Times New Roman" w:eastAsia="Arial" w:hAnsi="Times New Roman" w:cs="Times New Roman"/>
          <w:b/>
          <w:bCs/>
          <w:color w:val="000000"/>
          <w:sz w:val="24"/>
          <w:szCs w:val="24"/>
        </w:rPr>
        <w:t>Global Inflation Patterns</w:t>
      </w:r>
    </w:p>
    <w:p w14:paraId="239F4963" w14:textId="0856E29C" w:rsidR="005A1A99" w:rsidRPr="005A1A99" w:rsidRDefault="005A1A99" w:rsidP="005A1A99">
      <w:pPr>
        <w:pStyle w:val="ListParagraph"/>
        <w:numPr>
          <w:ilvl w:val="0"/>
          <w:numId w:val="10"/>
        </w:numPr>
        <w:pBdr>
          <w:top w:val="nil"/>
          <w:left w:val="nil"/>
          <w:bottom w:val="nil"/>
          <w:right w:val="nil"/>
          <w:between w:val="nil"/>
        </w:pBdr>
        <w:spacing w:after="200"/>
        <w:ind w:left="709"/>
        <w:jc w:val="both"/>
        <w:rPr>
          <w:rFonts w:ascii="Times New Roman" w:eastAsia="Arial" w:hAnsi="Times New Roman" w:cs="Times New Roman"/>
          <w:color w:val="000000"/>
          <w:sz w:val="24"/>
          <w:szCs w:val="24"/>
        </w:rPr>
      </w:pPr>
      <w:r w:rsidRPr="005A1A99">
        <w:rPr>
          <w:rFonts w:ascii="Times New Roman" w:eastAsia="Arial" w:hAnsi="Times New Roman" w:cs="Times New Roman"/>
          <w:b/>
          <w:color w:val="000000"/>
          <w:sz w:val="24"/>
          <w:szCs w:val="24"/>
        </w:rPr>
        <w:t>Decadal Shifts:</w:t>
      </w:r>
      <w:r w:rsidRPr="005A1A99">
        <w:rPr>
          <w:rFonts w:ascii="Times New Roman" w:eastAsia="Arial" w:hAnsi="Times New Roman" w:cs="Times New Roman"/>
          <w:color w:val="000000"/>
          <w:sz w:val="24"/>
          <w:szCs w:val="24"/>
        </w:rPr>
        <w:t xml:space="preserve"> Inflation trends globally have shown volatility, particularly during global economic crises such as the </w:t>
      </w:r>
      <w:r w:rsidRPr="005A1A99">
        <w:rPr>
          <w:rFonts w:ascii="Times New Roman" w:eastAsia="Arial" w:hAnsi="Times New Roman" w:cs="Times New Roman"/>
          <w:bCs/>
          <w:color w:val="000000"/>
          <w:sz w:val="24"/>
          <w:szCs w:val="24"/>
        </w:rPr>
        <w:t>1990s inflation waves</w:t>
      </w:r>
      <w:r w:rsidRPr="005A1A99">
        <w:rPr>
          <w:rFonts w:ascii="Times New Roman" w:eastAsia="Arial" w:hAnsi="Times New Roman" w:cs="Times New Roman"/>
          <w:color w:val="000000"/>
          <w:sz w:val="24"/>
          <w:szCs w:val="24"/>
        </w:rPr>
        <w:t xml:space="preserve">, </w:t>
      </w:r>
      <w:r w:rsidRPr="005A1A99">
        <w:rPr>
          <w:rFonts w:ascii="Times New Roman" w:eastAsia="Arial" w:hAnsi="Times New Roman" w:cs="Times New Roman"/>
          <w:bCs/>
          <w:color w:val="000000"/>
          <w:sz w:val="24"/>
          <w:szCs w:val="24"/>
        </w:rPr>
        <w:t>2008 recession</w:t>
      </w:r>
      <w:r w:rsidRPr="005A1A99">
        <w:rPr>
          <w:rFonts w:ascii="Times New Roman" w:eastAsia="Arial" w:hAnsi="Times New Roman" w:cs="Times New Roman"/>
          <w:color w:val="000000"/>
          <w:sz w:val="24"/>
          <w:szCs w:val="24"/>
        </w:rPr>
        <w:t xml:space="preserve">, and </w:t>
      </w:r>
      <w:r w:rsidRPr="005A1A99">
        <w:rPr>
          <w:rFonts w:ascii="Times New Roman" w:eastAsia="Arial" w:hAnsi="Times New Roman" w:cs="Times New Roman"/>
          <w:bCs/>
          <w:color w:val="000000"/>
          <w:sz w:val="24"/>
          <w:szCs w:val="24"/>
        </w:rPr>
        <w:t>COVID-19 pandemic</w:t>
      </w:r>
      <w:r w:rsidRPr="005A1A99">
        <w:rPr>
          <w:rFonts w:ascii="Times New Roman" w:eastAsia="Arial" w:hAnsi="Times New Roman" w:cs="Times New Roman"/>
          <w:color w:val="000000"/>
          <w:sz w:val="24"/>
          <w:szCs w:val="24"/>
        </w:rPr>
        <w:t>.</w:t>
      </w:r>
    </w:p>
    <w:p w14:paraId="30CF2273" w14:textId="77777777" w:rsidR="005A1A99" w:rsidRPr="005A1A99" w:rsidRDefault="005A1A99" w:rsidP="005A1A99">
      <w:pPr>
        <w:pStyle w:val="ListParagraph"/>
        <w:numPr>
          <w:ilvl w:val="0"/>
          <w:numId w:val="10"/>
        </w:numPr>
        <w:pBdr>
          <w:top w:val="nil"/>
          <w:left w:val="nil"/>
          <w:bottom w:val="nil"/>
          <w:right w:val="nil"/>
          <w:between w:val="nil"/>
        </w:pBdr>
        <w:spacing w:after="200"/>
        <w:ind w:left="709"/>
        <w:jc w:val="both"/>
        <w:rPr>
          <w:rFonts w:ascii="Times New Roman" w:eastAsia="Arial" w:hAnsi="Times New Roman" w:cs="Times New Roman"/>
          <w:color w:val="000000"/>
          <w:sz w:val="24"/>
          <w:szCs w:val="24"/>
        </w:rPr>
      </w:pPr>
      <w:r w:rsidRPr="005A1A99">
        <w:rPr>
          <w:rFonts w:ascii="Times New Roman" w:eastAsia="Arial" w:hAnsi="Times New Roman" w:cs="Times New Roman"/>
          <w:b/>
          <w:bCs/>
          <w:color w:val="000000"/>
          <w:sz w:val="24"/>
          <w:szCs w:val="24"/>
        </w:rPr>
        <w:t>Modern Spike:</w:t>
      </w:r>
      <w:r w:rsidRPr="005A1A99">
        <w:rPr>
          <w:rFonts w:ascii="Times New Roman" w:eastAsia="Arial" w:hAnsi="Times New Roman" w:cs="Times New Roman"/>
          <w:color w:val="000000"/>
          <w:sz w:val="24"/>
          <w:szCs w:val="24"/>
        </w:rPr>
        <w:t xml:space="preserve"> The years </w:t>
      </w:r>
      <w:r w:rsidRPr="005A1A99">
        <w:rPr>
          <w:rFonts w:ascii="Times New Roman" w:eastAsia="Arial" w:hAnsi="Times New Roman" w:cs="Times New Roman"/>
          <w:b/>
          <w:bCs/>
          <w:color w:val="000000"/>
          <w:sz w:val="24"/>
          <w:szCs w:val="24"/>
        </w:rPr>
        <w:t>2017–2020</w:t>
      </w:r>
      <w:r w:rsidRPr="005A1A99">
        <w:rPr>
          <w:rFonts w:ascii="Times New Roman" w:eastAsia="Arial" w:hAnsi="Times New Roman" w:cs="Times New Roman"/>
          <w:color w:val="000000"/>
          <w:sz w:val="24"/>
          <w:szCs w:val="24"/>
        </w:rPr>
        <w:t xml:space="preserve"> saw unprecedented inflation increases in several developing countries, with hyperinflation in nations like </w:t>
      </w:r>
      <w:r w:rsidRPr="005A1A99">
        <w:rPr>
          <w:rFonts w:ascii="Times New Roman" w:eastAsia="Arial" w:hAnsi="Times New Roman" w:cs="Times New Roman"/>
          <w:b/>
          <w:bCs/>
          <w:color w:val="000000"/>
          <w:sz w:val="24"/>
          <w:szCs w:val="24"/>
        </w:rPr>
        <w:t>Venezuela</w:t>
      </w:r>
      <w:r w:rsidRPr="005A1A99">
        <w:rPr>
          <w:rFonts w:ascii="Times New Roman" w:eastAsia="Arial" w:hAnsi="Times New Roman" w:cs="Times New Roman"/>
          <w:color w:val="000000"/>
          <w:sz w:val="24"/>
          <w:szCs w:val="24"/>
        </w:rPr>
        <w:t xml:space="preserve"> and </w:t>
      </w:r>
      <w:r w:rsidRPr="005A1A99">
        <w:rPr>
          <w:rFonts w:ascii="Times New Roman" w:eastAsia="Arial" w:hAnsi="Times New Roman" w:cs="Times New Roman"/>
          <w:b/>
          <w:bCs/>
          <w:color w:val="000000"/>
          <w:sz w:val="24"/>
          <w:szCs w:val="24"/>
        </w:rPr>
        <w:t>Zimbabwe</w:t>
      </w:r>
      <w:r w:rsidRPr="005A1A99">
        <w:rPr>
          <w:rFonts w:ascii="Times New Roman" w:eastAsia="Arial" w:hAnsi="Times New Roman" w:cs="Times New Roman"/>
          <w:color w:val="000000"/>
          <w:sz w:val="24"/>
          <w:szCs w:val="24"/>
        </w:rPr>
        <w:t>.</w:t>
      </w:r>
    </w:p>
    <w:p w14:paraId="5AC1E377" w14:textId="224E7C60" w:rsidR="00F31194" w:rsidRPr="005A1A99" w:rsidRDefault="005A1A99" w:rsidP="005A1A99">
      <w:pPr>
        <w:pStyle w:val="ListParagraph"/>
        <w:numPr>
          <w:ilvl w:val="0"/>
          <w:numId w:val="10"/>
        </w:numPr>
        <w:pBdr>
          <w:top w:val="nil"/>
          <w:left w:val="nil"/>
          <w:bottom w:val="nil"/>
          <w:right w:val="nil"/>
          <w:between w:val="nil"/>
        </w:pBdr>
        <w:spacing w:after="200"/>
        <w:ind w:left="709"/>
        <w:jc w:val="both"/>
        <w:rPr>
          <w:rFonts w:ascii="Times New Roman" w:eastAsia="Arial" w:hAnsi="Times New Roman" w:cs="Times New Roman"/>
          <w:color w:val="000000"/>
          <w:sz w:val="24"/>
          <w:szCs w:val="24"/>
        </w:rPr>
      </w:pPr>
      <w:r w:rsidRPr="005A1A99">
        <w:rPr>
          <w:rFonts w:ascii="Times New Roman" w:eastAsia="Arial" w:hAnsi="Times New Roman" w:cs="Times New Roman"/>
          <w:b/>
          <w:bCs/>
          <w:color w:val="000000"/>
          <w:sz w:val="24"/>
          <w:szCs w:val="24"/>
        </w:rPr>
        <w:t>Long-Term Trends:</w:t>
      </w:r>
      <w:r w:rsidRPr="005A1A99">
        <w:rPr>
          <w:rFonts w:ascii="Times New Roman" w:eastAsia="Arial" w:hAnsi="Times New Roman" w:cs="Times New Roman"/>
          <w:color w:val="000000"/>
          <w:sz w:val="24"/>
          <w:szCs w:val="24"/>
        </w:rPr>
        <w:t xml:space="preserve"> While developed nations have maintained moderate inflation, many </w:t>
      </w:r>
      <w:r w:rsidRPr="005A1A99">
        <w:rPr>
          <w:rFonts w:ascii="Times New Roman" w:eastAsia="Arial" w:hAnsi="Times New Roman" w:cs="Times New Roman"/>
          <w:b/>
          <w:bCs/>
          <w:color w:val="000000"/>
          <w:sz w:val="24"/>
          <w:szCs w:val="24"/>
        </w:rPr>
        <w:t>emerging economies</w:t>
      </w:r>
      <w:r w:rsidRPr="005A1A99">
        <w:rPr>
          <w:rFonts w:ascii="Times New Roman" w:eastAsia="Arial" w:hAnsi="Times New Roman" w:cs="Times New Roman"/>
          <w:color w:val="000000"/>
          <w:sz w:val="24"/>
          <w:szCs w:val="24"/>
        </w:rPr>
        <w:t xml:space="preserve"> faced fluctuations driven by unstable currency regimes, political shifts, or trade imbalances.</w:t>
      </w:r>
    </w:p>
    <w:p w14:paraId="35DF7E91" w14:textId="77777777" w:rsidR="00F31194" w:rsidRPr="00F31194" w:rsidRDefault="00642171"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 xml:space="preserve">2. </w:t>
      </w:r>
      <w:r w:rsidR="00A20696" w:rsidRPr="00F31194">
        <w:rPr>
          <w:rFonts w:ascii="Times New Roman" w:eastAsia="Arial" w:hAnsi="Times New Roman" w:cs="Times New Roman"/>
          <w:b/>
          <w:bCs/>
          <w:color w:val="000000"/>
          <w:sz w:val="24"/>
          <w:szCs w:val="24"/>
        </w:rPr>
        <w:t>Performance Comparisons</w:t>
      </w:r>
      <w:r w:rsidR="00A20696" w:rsidRPr="00F31194">
        <w:rPr>
          <w:rFonts w:ascii="Times New Roman" w:eastAsia="Arial" w:hAnsi="Times New Roman" w:cs="Times New Roman"/>
          <w:color w:val="000000"/>
          <w:sz w:val="24"/>
          <w:szCs w:val="24"/>
        </w:rPr>
        <w:t>:</w:t>
      </w:r>
    </w:p>
    <w:p w14:paraId="076327CA" w14:textId="296B4C8F" w:rsidR="00F31194" w:rsidRPr="00F31194" w:rsidRDefault="005A1A99"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5A1A99">
        <w:rPr>
          <w:rFonts w:ascii="Times New Roman" w:eastAsia="Arial" w:hAnsi="Times New Roman" w:cs="Times New Roman"/>
          <w:b/>
          <w:bCs/>
          <w:color w:val="000000"/>
          <w:sz w:val="24"/>
          <w:szCs w:val="24"/>
        </w:rPr>
        <w:t>Countries &amp; Regions</w:t>
      </w:r>
    </w:p>
    <w:p w14:paraId="117AA0E3" w14:textId="1464CF43" w:rsidR="005A1A99" w:rsidRDefault="005A1A99" w:rsidP="005A1A99">
      <w:pPr>
        <w:pStyle w:val="NormalWeb"/>
      </w:pPr>
      <w:proofErr w:type="gramStart"/>
      <w:r>
        <w:rPr>
          <w:rFonts w:hAnsi="Symbol"/>
        </w:rPr>
        <w:t></w:t>
      </w:r>
      <w:r>
        <w:t xml:space="preserve"> </w:t>
      </w:r>
      <w:r>
        <w:t xml:space="preserve"> </w:t>
      </w:r>
      <w:r w:rsidRPr="005A1A99">
        <w:rPr>
          <w:b/>
          <w:bCs/>
        </w:rPr>
        <w:t>T</w:t>
      </w:r>
      <w:r>
        <w:rPr>
          <w:rStyle w:val="Strong"/>
        </w:rPr>
        <w:t>op</w:t>
      </w:r>
      <w:proofErr w:type="gramEnd"/>
      <w:r>
        <w:rPr>
          <w:rStyle w:val="Strong"/>
        </w:rPr>
        <w:t xml:space="preserve"> Inflation Countries:</w:t>
      </w:r>
      <w:r>
        <w:br/>
        <w:t xml:space="preserve">Venezuela and Congo show </w:t>
      </w:r>
      <w:r>
        <w:rPr>
          <w:rStyle w:val="Strong"/>
        </w:rPr>
        <w:t>extremely high adjusted inflation</w:t>
      </w:r>
      <w:r>
        <w:t>, with values exceeding 1,000 units in some years.</w:t>
      </w:r>
      <w:r>
        <w:br/>
        <w:t xml:space="preserve">Other high-inflation countries include </w:t>
      </w:r>
      <w:r>
        <w:rPr>
          <w:rStyle w:val="Strong"/>
        </w:rPr>
        <w:t>Nicaragua, Bolivia, Angola</w:t>
      </w:r>
      <w:r>
        <w:t xml:space="preserve">, and </w:t>
      </w:r>
      <w:r>
        <w:rPr>
          <w:rStyle w:val="Strong"/>
        </w:rPr>
        <w:t>Zimbabwe</w:t>
      </w:r>
      <w:r>
        <w:t>.</w:t>
      </w:r>
    </w:p>
    <w:p w14:paraId="287ACFA0" w14:textId="7244C719" w:rsidR="005A1A99" w:rsidRDefault="005A1A99" w:rsidP="005A1A99">
      <w:pPr>
        <w:pStyle w:val="NormalWeb"/>
      </w:pPr>
      <w:proofErr w:type="gramStart"/>
      <w:r>
        <w:rPr>
          <w:rFonts w:hAnsi="Symbol"/>
        </w:rPr>
        <w:t></w:t>
      </w:r>
      <w:r>
        <w:t xml:space="preserve"> </w:t>
      </w:r>
      <w:r>
        <w:t xml:space="preserve"> </w:t>
      </w:r>
      <w:r>
        <w:rPr>
          <w:rStyle w:val="Strong"/>
        </w:rPr>
        <w:t>Continental</w:t>
      </w:r>
      <w:proofErr w:type="gramEnd"/>
      <w:r>
        <w:rPr>
          <w:rStyle w:val="Strong"/>
        </w:rPr>
        <w:t xml:space="preserve"> Trends:</w:t>
      </w:r>
    </w:p>
    <w:p w14:paraId="0A7BF895" w14:textId="77777777" w:rsidR="005A1A99" w:rsidRDefault="005A1A99" w:rsidP="005A1A99">
      <w:pPr>
        <w:pStyle w:val="NormalWeb"/>
        <w:numPr>
          <w:ilvl w:val="0"/>
          <w:numId w:val="13"/>
        </w:numPr>
      </w:pPr>
      <w:r>
        <w:rPr>
          <w:rStyle w:val="Strong"/>
        </w:rPr>
        <w:t>Africa:</w:t>
      </w:r>
      <w:r>
        <w:t xml:space="preserve"> Mixed patterns. Countries like Egypt and Nigeria showed moderate inflation with occasional spikes.</w:t>
      </w:r>
    </w:p>
    <w:p w14:paraId="50FC1C3B" w14:textId="77777777" w:rsidR="005A1A99" w:rsidRDefault="005A1A99" w:rsidP="005A1A99">
      <w:pPr>
        <w:pStyle w:val="NormalWeb"/>
        <w:numPr>
          <w:ilvl w:val="0"/>
          <w:numId w:val="13"/>
        </w:numPr>
      </w:pPr>
      <w:r>
        <w:rPr>
          <w:rStyle w:val="Strong"/>
        </w:rPr>
        <w:t>Asia:</w:t>
      </w:r>
      <w:r>
        <w:t xml:space="preserve"> Stable in developed parts; </w:t>
      </w:r>
      <w:r>
        <w:rPr>
          <w:rStyle w:val="Strong"/>
        </w:rPr>
        <w:t>South Asia</w:t>
      </w:r>
      <w:r>
        <w:t xml:space="preserve"> experienced volatile inflation (e.g., Sri Lanka).</w:t>
      </w:r>
    </w:p>
    <w:p w14:paraId="72D3F4CC" w14:textId="77777777" w:rsidR="005A1A99" w:rsidRDefault="005A1A99" w:rsidP="005A1A99">
      <w:pPr>
        <w:pStyle w:val="NormalWeb"/>
        <w:numPr>
          <w:ilvl w:val="0"/>
          <w:numId w:val="13"/>
        </w:numPr>
      </w:pPr>
      <w:r>
        <w:rPr>
          <w:rStyle w:val="Strong"/>
        </w:rPr>
        <w:t>Americas:</w:t>
      </w:r>
      <w:r>
        <w:t xml:space="preserve"> Both North and South America contain extremes—Canada (low), Venezuela (hyperinflation).</w:t>
      </w:r>
    </w:p>
    <w:p w14:paraId="339A0FE3" w14:textId="388472F0" w:rsidR="00A20696" w:rsidRPr="005A1A99" w:rsidRDefault="005A1A99" w:rsidP="005A1A99">
      <w:pPr>
        <w:pStyle w:val="NormalWeb"/>
        <w:numPr>
          <w:ilvl w:val="0"/>
          <w:numId w:val="13"/>
        </w:numPr>
      </w:pPr>
      <w:r>
        <w:rPr>
          <w:rStyle w:val="Strong"/>
        </w:rPr>
        <w:lastRenderedPageBreak/>
        <w:t>Europe:</w:t>
      </w:r>
      <w:r>
        <w:t xml:space="preserve"> Majority of countries show </w:t>
      </w:r>
      <w:r>
        <w:rPr>
          <w:rStyle w:val="Strong"/>
        </w:rPr>
        <w:t>stable and low inflation</w:t>
      </w:r>
      <w:r>
        <w:t xml:space="preserve"> with exceptions like Ukraine during conflict periods.</w:t>
      </w:r>
    </w:p>
    <w:p w14:paraId="39822A0F" w14:textId="724232AC" w:rsidR="00D10015" w:rsidRDefault="00642171" w:rsidP="005A1A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005A1A99" w:rsidRPr="005A1A99">
        <w:rPr>
          <w:rFonts w:ascii="Times New Roman" w:eastAsia="Times New Roman" w:hAnsi="Times New Roman" w:cs="Times New Roman"/>
          <w:b/>
          <w:bCs/>
          <w:sz w:val="24"/>
          <w:szCs w:val="24"/>
        </w:rPr>
        <w:t>Category-Wise Distribution: Inflation Rate Segments</w:t>
      </w:r>
      <w:r w:rsidR="00AF7735" w:rsidRPr="00AF7735">
        <w:rPr>
          <w:rFonts w:ascii="Times New Roman" w:eastAsia="Times New Roman" w:hAnsi="Times New Roman" w:cs="Times New Roman"/>
          <w:sz w:val="24"/>
          <w:szCs w:val="24"/>
        </w:rPr>
        <w:t>:</w:t>
      </w:r>
    </w:p>
    <w:p w14:paraId="48D0450B" w14:textId="77777777" w:rsidR="005A1A99" w:rsidRPr="005A1A99" w:rsidRDefault="005A1A99" w:rsidP="005A1A99">
      <w:pPr>
        <w:spacing w:before="100" w:beforeAutospacing="1" w:after="100" w:afterAutospacing="1" w:line="240" w:lineRule="auto"/>
        <w:jc w:val="both"/>
        <w:rPr>
          <w:rFonts w:ascii="Times New Roman" w:eastAsia="Times New Roman" w:hAnsi="Times New Roman" w:cs="Times New Roman"/>
          <w:sz w:val="24"/>
          <w:szCs w:val="24"/>
        </w:rPr>
      </w:pPr>
      <w:r w:rsidRPr="005A1A99">
        <w:rPr>
          <w:rFonts w:ascii="Times New Roman" w:eastAsia="Times New Roman" w:hAnsi="Times New Roman" w:cs="Times New Roman"/>
          <w:sz w:val="24"/>
          <w:szCs w:val="24"/>
        </w:rPr>
        <w:t>Inflation data was categorized into three bands:</w:t>
      </w:r>
    </w:p>
    <w:p w14:paraId="78F59D32" w14:textId="77777777" w:rsidR="005A1A99" w:rsidRPr="005A1A99" w:rsidRDefault="005A1A99" w:rsidP="005A1A99">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A1A99">
        <w:rPr>
          <w:rFonts w:ascii="Times New Roman" w:eastAsia="Times New Roman" w:hAnsi="Times New Roman" w:cs="Times New Roman"/>
          <w:b/>
          <w:bCs/>
          <w:sz w:val="24"/>
          <w:szCs w:val="24"/>
        </w:rPr>
        <w:t>Low:</w:t>
      </w:r>
      <w:r w:rsidRPr="005A1A99">
        <w:rPr>
          <w:rFonts w:ascii="Times New Roman" w:eastAsia="Times New Roman" w:hAnsi="Times New Roman" w:cs="Times New Roman"/>
          <w:sz w:val="24"/>
          <w:szCs w:val="24"/>
        </w:rPr>
        <w:t xml:space="preserve"> &lt; 5% (most developed economies)</w:t>
      </w:r>
    </w:p>
    <w:p w14:paraId="019C7E14" w14:textId="77777777" w:rsidR="005A1A99" w:rsidRPr="005A1A99" w:rsidRDefault="005A1A99" w:rsidP="005A1A99">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A1A99">
        <w:rPr>
          <w:rFonts w:ascii="Times New Roman" w:eastAsia="Times New Roman" w:hAnsi="Times New Roman" w:cs="Times New Roman"/>
          <w:b/>
          <w:bCs/>
          <w:sz w:val="24"/>
          <w:szCs w:val="24"/>
        </w:rPr>
        <w:t>Moderate:</w:t>
      </w:r>
      <w:r w:rsidRPr="005A1A99">
        <w:rPr>
          <w:rFonts w:ascii="Times New Roman" w:eastAsia="Times New Roman" w:hAnsi="Times New Roman" w:cs="Times New Roman"/>
          <w:sz w:val="24"/>
          <w:szCs w:val="24"/>
        </w:rPr>
        <w:t xml:space="preserve"> 5–25% (transitioning economies)</w:t>
      </w:r>
    </w:p>
    <w:p w14:paraId="6E718E2A" w14:textId="77777777" w:rsidR="005A1A99" w:rsidRDefault="005A1A99" w:rsidP="005A1A99">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A1A99">
        <w:rPr>
          <w:rFonts w:ascii="Times New Roman" w:eastAsia="Times New Roman" w:hAnsi="Times New Roman" w:cs="Times New Roman"/>
          <w:b/>
          <w:bCs/>
          <w:sz w:val="24"/>
          <w:szCs w:val="24"/>
        </w:rPr>
        <w:t>High:</w:t>
      </w:r>
      <w:r w:rsidRPr="005A1A99">
        <w:rPr>
          <w:rFonts w:ascii="Times New Roman" w:eastAsia="Times New Roman" w:hAnsi="Times New Roman" w:cs="Times New Roman"/>
          <w:sz w:val="24"/>
          <w:szCs w:val="24"/>
        </w:rPr>
        <w:t xml:space="preserve"> &gt; 25% (mostly unstable or post-crisis economies)</w:t>
      </w:r>
    </w:p>
    <w:p w14:paraId="7C7167A7" w14:textId="1FBE7E31" w:rsidR="005A1A99" w:rsidRPr="005A1A99" w:rsidRDefault="005A1A99" w:rsidP="005A1A99">
      <w:pPr>
        <w:pStyle w:val="ListParagraph"/>
        <w:numPr>
          <w:ilvl w:val="0"/>
          <w:numId w:val="22"/>
        </w:numPr>
        <w:spacing w:before="100" w:beforeAutospacing="1" w:after="100" w:afterAutospacing="1" w:line="240" w:lineRule="auto"/>
        <w:ind w:left="709"/>
        <w:rPr>
          <w:rFonts w:ascii="Times New Roman" w:eastAsia="Times New Roman" w:hAnsi="Times New Roman" w:cs="Times New Roman"/>
          <w:sz w:val="24"/>
          <w:szCs w:val="24"/>
        </w:rPr>
      </w:pPr>
      <w:r w:rsidRPr="005A1A99">
        <w:rPr>
          <w:rFonts w:ascii="Times New Roman" w:eastAsia="Times New Roman" w:hAnsi="Times New Roman" w:cs="Times New Roman"/>
          <w:b/>
          <w:bCs/>
          <w:sz w:val="24"/>
          <w:szCs w:val="24"/>
        </w:rPr>
        <w:t>Donut Chart Observation</w:t>
      </w:r>
      <w:r w:rsidRPr="005A1A99">
        <w:rPr>
          <w:rFonts w:ascii="Times New Roman" w:eastAsia="Times New Roman" w:hAnsi="Times New Roman" w:cs="Times New Roman"/>
          <w:sz w:val="24"/>
          <w:szCs w:val="24"/>
        </w:rPr>
        <w:br/>
        <w:t xml:space="preserve">Majority of the dataset (~97.7%) lies in the </w:t>
      </w:r>
      <w:r w:rsidRPr="005A1A99">
        <w:rPr>
          <w:rFonts w:ascii="Times New Roman" w:eastAsia="Times New Roman" w:hAnsi="Times New Roman" w:cs="Times New Roman"/>
          <w:b/>
          <w:bCs/>
          <w:sz w:val="24"/>
          <w:szCs w:val="24"/>
        </w:rPr>
        <w:t>moderate inflation</w:t>
      </w:r>
      <w:r w:rsidRPr="005A1A99">
        <w:rPr>
          <w:rFonts w:ascii="Times New Roman" w:eastAsia="Times New Roman" w:hAnsi="Times New Roman" w:cs="Times New Roman"/>
          <w:sz w:val="24"/>
          <w:szCs w:val="24"/>
        </w:rPr>
        <w:t xml:space="preserve"> range, indicating global efforts toward price stability despite economic pressures.</w:t>
      </w:r>
    </w:p>
    <w:p w14:paraId="4EAD1C93" w14:textId="1B15E59F" w:rsidR="00A20696" w:rsidRPr="00A20696" w:rsidRDefault="00642171" w:rsidP="00A20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7438C5" w:rsidRPr="007438C5">
        <w:rPr>
          <w:rFonts w:ascii="Times New Roman" w:eastAsia="Times New Roman" w:hAnsi="Times New Roman" w:cs="Times New Roman"/>
          <w:b/>
          <w:bCs/>
          <w:sz w:val="24"/>
          <w:szCs w:val="24"/>
        </w:rPr>
        <w:t>Visual KPIs and Highlights</w:t>
      </w:r>
      <w:r w:rsidR="007438C5">
        <w:rPr>
          <w:rFonts w:ascii="Times New Roman" w:eastAsia="Times New Roman" w:hAnsi="Times New Roman" w:cs="Times New Roman"/>
          <w:b/>
          <w:bCs/>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248"/>
        <w:gridCol w:w="3685"/>
      </w:tblGrid>
      <w:tr w:rsidR="007438C5" w:rsidRPr="007438C5" w14:paraId="59437E84" w14:textId="77777777" w:rsidTr="007438C5">
        <w:trPr>
          <w:tblHeader/>
          <w:tblCellSpacing w:w="15" w:type="dxa"/>
        </w:trPr>
        <w:tc>
          <w:tcPr>
            <w:tcW w:w="4203" w:type="dxa"/>
            <w:shd w:val="clear" w:color="auto" w:fill="FFFFFF" w:themeFill="background1"/>
            <w:vAlign w:val="center"/>
            <w:hideMark/>
          </w:tcPr>
          <w:p w14:paraId="76E9644C" w14:textId="77777777" w:rsidR="007438C5" w:rsidRPr="007438C5" w:rsidRDefault="007438C5" w:rsidP="007438C5">
            <w:pPr>
              <w:pStyle w:val="NormalWeb"/>
              <w:rPr>
                <w:b/>
                <w:bCs/>
              </w:rPr>
            </w:pPr>
            <w:r w:rsidRPr="007438C5">
              <w:rPr>
                <w:b/>
                <w:bCs/>
              </w:rPr>
              <w:t>KPI</w:t>
            </w:r>
          </w:p>
        </w:tc>
        <w:tc>
          <w:tcPr>
            <w:tcW w:w="3640" w:type="dxa"/>
            <w:shd w:val="clear" w:color="auto" w:fill="FFFFFF" w:themeFill="background1"/>
            <w:vAlign w:val="center"/>
            <w:hideMark/>
          </w:tcPr>
          <w:p w14:paraId="72B9B436" w14:textId="77777777" w:rsidR="007438C5" w:rsidRPr="007438C5" w:rsidRDefault="007438C5" w:rsidP="007438C5">
            <w:pPr>
              <w:pStyle w:val="NormalWeb"/>
              <w:rPr>
                <w:b/>
                <w:bCs/>
              </w:rPr>
            </w:pPr>
            <w:r w:rsidRPr="007438C5">
              <w:rPr>
                <w:b/>
                <w:bCs/>
              </w:rPr>
              <w:t>Observation</w:t>
            </w:r>
          </w:p>
        </w:tc>
      </w:tr>
      <w:tr w:rsidR="007438C5" w:rsidRPr="007438C5" w14:paraId="185267E5" w14:textId="77777777" w:rsidTr="007438C5">
        <w:trPr>
          <w:tblCellSpacing w:w="15" w:type="dxa"/>
        </w:trPr>
        <w:tc>
          <w:tcPr>
            <w:tcW w:w="4203" w:type="dxa"/>
            <w:shd w:val="clear" w:color="auto" w:fill="FFFFFF" w:themeFill="background1"/>
            <w:vAlign w:val="center"/>
            <w:hideMark/>
          </w:tcPr>
          <w:p w14:paraId="0D597462" w14:textId="77777777" w:rsidR="007438C5" w:rsidRPr="007438C5" w:rsidRDefault="007438C5" w:rsidP="007438C5">
            <w:pPr>
              <w:pStyle w:val="NormalWeb"/>
            </w:pPr>
            <w:r w:rsidRPr="007438C5">
              <w:t>Average Global Inflation</w:t>
            </w:r>
          </w:p>
        </w:tc>
        <w:tc>
          <w:tcPr>
            <w:tcW w:w="3640" w:type="dxa"/>
            <w:shd w:val="clear" w:color="auto" w:fill="FFFFFF" w:themeFill="background1"/>
            <w:vAlign w:val="center"/>
            <w:hideMark/>
          </w:tcPr>
          <w:p w14:paraId="3BD292B1" w14:textId="77777777" w:rsidR="007438C5" w:rsidRPr="007438C5" w:rsidRDefault="007438C5" w:rsidP="007438C5">
            <w:pPr>
              <w:pStyle w:val="NormalWeb"/>
            </w:pPr>
            <w:r w:rsidRPr="007438C5">
              <w:t>42.07</w:t>
            </w:r>
          </w:p>
        </w:tc>
      </w:tr>
      <w:tr w:rsidR="007438C5" w:rsidRPr="007438C5" w14:paraId="7B700838" w14:textId="77777777" w:rsidTr="007438C5">
        <w:trPr>
          <w:tblCellSpacing w:w="15" w:type="dxa"/>
        </w:trPr>
        <w:tc>
          <w:tcPr>
            <w:tcW w:w="4203" w:type="dxa"/>
            <w:shd w:val="clear" w:color="auto" w:fill="FFFFFF" w:themeFill="background1"/>
            <w:vAlign w:val="center"/>
            <w:hideMark/>
          </w:tcPr>
          <w:p w14:paraId="2C687CA2" w14:textId="77777777" w:rsidR="007438C5" w:rsidRPr="007438C5" w:rsidRDefault="007438C5" w:rsidP="007438C5">
            <w:pPr>
              <w:pStyle w:val="NormalWeb"/>
            </w:pPr>
            <w:r w:rsidRPr="007438C5">
              <w:t>Maximum Inflation (Country-Level)</w:t>
            </w:r>
          </w:p>
        </w:tc>
        <w:tc>
          <w:tcPr>
            <w:tcW w:w="3640" w:type="dxa"/>
            <w:shd w:val="clear" w:color="auto" w:fill="FFFFFF" w:themeFill="background1"/>
            <w:vAlign w:val="center"/>
            <w:hideMark/>
          </w:tcPr>
          <w:p w14:paraId="3F820E6B" w14:textId="77777777" w:rsidR="007438C5" w:rsidRPr="007438C5" w:rsidRDefault="007438C5" w:rsidP="007438C5">
            <w:pPr>
              <w:pStyle w:val="NormalWeb"/>
            </w:pPr>
            <w:r w:rsidRPr="007438C5">
              <w:t>65.37K (Venezuela)</w:t>
            </w:r>
          </w:p>
        </w:tc>
      </w:tr>
      <w:tr w:rsidR="007438C5" w:rsidRPr="007438C5" w14:paraId="6A6500FF" w14:textId="77777777" w:rsidTr="007438C5">
        <w:trPr>
          <w:tblCellSpacing w:w="15" w:type="dxa"/>
        </w:trPr>
        <w:tc>
          <w:tcPr>
            <w:tcW w:w="4203" w:type="dxa"/>
            <w:shd w:val="clear" w:color="auto" w:fill="FFFFFF" w:themeFill="background1"/>
            <w:vAlign w:val="center"/>
            <w:hideMark/>
          </w:tcPr>
          <w:p w14:paraId="13F83506" w14:textId="77777777" w:rsidR="007438C5" w:rsidRPr="007438C5" w:rsidRDefault="007438C5" w:rsidP="007438C5">
            <w:pPr>
              <w:pStyle w:val="NormalWeb"/>
            </w:pPr>
            <w:r w:rsidRPr="007438C5">
              <w:t>Most Inflation-Stable Countries</w:t>
            </w:r>
          </w:p>
        </w:tc>
        <w:tc>
          <w:tcPr>
            <w:tcW w:w="3640" w:type="dxa"/>
            <w:shd w:val="clear" w:color="auto" w:fill="FFFFFF" w:themeFill="background1"/>
            <w:vAlign w:val="center"/>
            <w:hideMark/>
          </w:tcPr>
          <w:p w14:paraId="3416D137" w14:textId="77777777" w:rsidR="007438C5" w:rsidRPr="007438C5" w:rsidRDefault="007438C5" w:rsidP="007438C5">
            <w:pPr>
              <w:pStyle w:val="NormalWeb"/>
            </w:pPr>
            <w:r w:rsidRPr="007438C5">
              <w:t>Japan, Switzerland, Germany</w:t>
            </w:r>
          </w:p>
        </w:tc>
      </w:tr>
      <w:tr w:rsidR="007438C5" w:rsidRPr="007438C5" w14:paraId="7ECC695B" w14:textId="77777777" w:rsidTr="007438C5">
        <w:trPr>
          <w:tblCellSpacing w:w="15" w:type="dxa"/>
        </w:trPr>
        <w:tc>
          <w:tcPr>
            <w:tcW w:w="4203" w:type="dxa"/>
            <w:shd w:val="clear" w:color="auto" w:fill="FFFFFF" w:themeFill="background1"/>
            <w:vAlign w:val="center"/>
            <w:hideMark/>
          </w:tcPr>
          <w:p w14:paraId="3FE4248F" w14:textId="77777777" w:rsidR="007438C5" w:rsidRPr="007438C5" w:rsidRDefault="007438C5" w:rsidP="007438C5">
            <w:pPr>
              <w:pStyle w:val="NormalWeb"/>
            </w:pPr>
            <w:r w:rsidRPr="007438C5">
              <w:t>Year with Highest Spike</w:t>
            </w:r>
          </w:p>
        </w:tc>
        <w:tc>
          <w:tcPr>
            <w:tcW w:w="3640" w:type="dxa"/>
            <w:shd w:val="clear" w:color="auto" w:fill="FFFFFF" w:themeFill="background1"/>
            <w:vAlign w:val="center"/>
            <w:hideMark/>
          </w:tcPr>
          <w:p w14:paraId="2E5B4756" w14:textId="77777777" w:rsidR="007438C5" w:rsidRPr="007438C5" w:rsidRDefault="007438C5" w:rsidP="007438C5">
            <w:pPr>
              <w:pStyle w:val="NormalWeb"/>
            </w:pPr>
            <w:r w:rsidRPr="007438C5">
              <w:t>2018</w:t>
            </w:r>
          </w:p>
        </w:tc>
      </w:tr>
      <w:tr w:rsidR="007438C5" w:rsidRPr="007438C5" w14:paraId="7792D8E0" w14:textId="77777777" w:rsidTr="007438C5">
        <w:trPr>
          <w:tblCellSpacing w:w="15" w:type="dxa"/>
        </w:trPr>
        <w:tc>
          <w:tcPr>
            <w:tcW w:w="4203" w:type="dxa"/>
            <w:shd w:val="clear" w:color="auto" w:fill="FFFFFF" w:themeFill="background1"/>
            <w:vAlign w:val="center"/>
            <w:hideMark/>
          </w:tcPr>
          <w:p w14:paraId="02F2D454" w14:textId="77777777" w:rsidR="007438C5" w:rsidRPr="007438C5" w:rsidRDefault="007438C5" w:rsidP="007438C5">
            <w:pPr>
              <w:pStyle w:val="NormalWeb"/>
            </w:pPr>
            <w:r w:rsidRPr="007438C5">
              <w:t>Region with Highest Volatility</w:t>
            </w:r>
          </w:p>
        </w:tc>
        <w:tc>
          <w:tcPr>
            <w:tcW w:w="3640" w:type="dxa"/>
            <w:shd w:val="clear" w:color="auto" w:fill="FFFFFF" w:themeFill="background1"/>
            <w:vAlign w:val="center"/>
            <w:hideMark/>
          </w:tcPr>
          <w:p w14:paraId="38C84F31" w14:textId="77777777" w:rsidR="007438C5" w:rsidRPr="007438C5" w:rsidRDefault="007438C5" w:rsidP="007438C5">
            <w:pPr>
              <w:pStyle w:val="NormalWeb"/>
            </w:pPr>
            <w:r w:rsidRPr="007438C5">
              <w:t>Africa &amp; Latin America</w:t>
            </w:r>
          </w:p>
        </w:tc>
      </w:tr>
    </w:tbl>
    <w:p w14:paraId="435532A1" w14:textId="21782CA4" w:rsidR="00D10015" w:rsidRPr="007438C5" w:rsidRDefault="007438C5" w:rsidP="007438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5. </w:t>
      </w:r>
      <w:r w:rsidRPr="007438C5">
        <w:rPr>
          <w:rFonts w:ascii="Times New Roman" w:eastAsia="Times New Roman" w:hAnsi="Times New Roman" w:cs="Times New Roman"/>
          <w:b/>
          <w:bCs/>
          <w:sz w:val="24"/>
          <w:szCs w:val="24"/>
        </w:rPr>
        <w:t>Strategic Insights &amp; Recommendations</w:t>
      </w:r>
      <w:r>
        <w:rPr>
          <w:rFonts w:ascii="Times New Roman" w:eastAsia="Times New Roman" w:hAnsi="Times New Roman" w:cs="Times New Roman"/>
          <w:b/>
          <w:bCs/>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8"/>
        <w:gridCol w:w="6058"/>
      </w:tblGrid>
      <w:tr w:rsidR="007438C5" w:rsidRPr="007438C5" w14:paraId="046028D3" w14:textId="77777777" w:rsidTr="007438C5">
        <w:trPr>
          <w:tblCellSpacing w:w="15" w:type="dxa"/>
        </w:trPr>
        <w:tc>
          <w:tcPr>
            <w:tcW w:w="0" w:type="auto"/>
            <w:vAlign w:val="center"/>
            <w:hideMark/>
          </w:tcPr>
          <w:p w14:paraId="41B6FB0A" w14:textId="184093B2" w:rsidR="007438C5" w:rsidRPr="007438C5" w:rsidRDefault="007438C5" w:rsidP="007438C5">
            <w:pPr>
              <w:pStyle w:val="NormalWeb"/>
              <w:rPr>
                <w:b/>
                <w:bCs/>
              </w:rPr>
            </w:pPr>
            <w:r>
              <w:rPr>
                <w:b/>
                <w:bCs/>
              </w:rPr>
              <w:t>Observation</w:t>
            </w:r>
          </w:p>
        </w:tc>
        <w:tc>
          <w:tcPr>
            <w:tcW w:w="0" w:type="auto"/>
            <w:vAlign w:val="center"/>
          </w:tcPr>
          <w:p w14:paraId="23C980D5" w14:textId="7F2ED0C7" w:rsidR="007438C5" w:rsidRPr="007438C5" w:rsidRDefault="007438C5" w:rsidP="007438C5">
            <w:pPr>
              <w:pStyle w:val="NormalWeb"/>
              <w:rPr>
                <w:b/>
                <w:bCs/>
              </w:rPr>
            </w:pPr>
            <w:r>
              <w:rPr>
                <w:b/>
                <w:bCs/>
              </w:rPr>
              <w:t>Insight</w:t>
            </w:r>
          </w:p>
        </w:tc>
      </w:tr>
      <w:tr w:rsidR="007438C5" w:rsidRPr="007438C5" w14:paraId="28518A52" w14:textId="77777777" w:rsidTr="007438C5">
        <w:trPr>
          <w:tblCellSpacing w:w="15" w:type="dxa"/>
        </w:trPr>
        <w:tc>
          <w:tcPr>
            <w:tcW w:w="0" w:type="auto"/>
            <w:vAlign w:val="center"/>
          </w:tcPr>
          <w:p w14:paraId="79EA95BC" w14:textId="2FCE57B2" w:rsidR="007438C5" w:rsidRPr="007438C5" w:rsidRDefault="007438C5" w:rsidP="007438C5">
            <w:pPr>
              <w:pStyle w:val="NormalWeb"/>
            </w:pPr>
            <w:r w:rsidRPr="007438C5">
              <w:t>High Volatility in Developing Nations</w:t>
            </w:r>
          </w:p>
        </w:tc>
        <w:tc>
          <w:tcPr>
            <w:tcW w:w="0" w:type="auto"/>
            <w:vAlign w:val="center"/>
          </w:tcPr>
          <w:p w14:paraId="377F439C" w14:textId="47470957" w:rsidR="007438C5" w:rsidRPr="007438C5" w:rsidRDefault="007438C5" w:rsidP="007438C5">
            <w:pPr>
              <w:pStyle w:val="NormalWeb"/>
            </w:pPr>
            <w:r w:rsidRPr="007438C5">
              <w:t>Need for robust monetary and fiscal policy coordination</w:t>
            </w:r>
          </w:p>
        </w:tc>
      </w:tr>
      <w:tr w:rsidR="007438C5" w:rsidRPr="007438C5" w14:paraId="6D4F98FE" w14:textId="77777777" w:rsidTr="007438C5">
        <w:trPr>
          <w:tblCellSpacing w:w="15" w:type="dxa"/>
        </w:trPr>
        <w:tc>
          <w:tcPr>
            <w:tcW w:w="0" w:type="auto"/>
            <w:vAlign w:val="center"/>
            <w:hideMark/>
          </w:tcPr>
          <w:p w14:paraId="780AD807" w14:textId="77777777" w:rsidR="007438C5" w:rsidRPr="007438C5" w:rsidRDefault="007438C5" w:rsidP="007438C5">
            <w:pPr>
              <w:pStyle w:val="NormalWeb"/>
            </w:pPr>
            <w:r w:rsidRPr="007438C5">
              <w:t>Regional Inflation Disparity</w:t>
            </w:r>
          </w:p>
        </w:tc>
        <w:tc>
          <w:tcPr>
            <w:tcW w:w="0" w:type="auto"/>
            <w:vAlign w:val="center"/>
            <w:hideMark/>
          </w:tcPr>
          <w:p w14:paraId="530E7948" w14:textId="77777777" w:rsidR="007438C5" w:rsidRPr="007438C5" w:rsidRDefault="007438C5" w:rsidP="007438C5">
            <w:pPr>
              <w:pStyle w:val="NormalWeb"/>
            </w:pPr>
            <w:r w:rsidRPr="007438C5">
              <w:t>Strategy segmentation should be region- and context-specific</w:t>
            </w:r>
          </w:p>
        </w:tc>
      </w:tr>
      <w:tr w:rsidR="007438C5" w:rsidRPr="007438C5" w14:paraId="36753053" w14:textId="77777777" w:rsidTr="007438C5">
        <w:trPr>
          <w:tblCellSpacing w:w="15" w:type="dxa"/>
        </w:trPr>
        <w:tc>
          <w:tcPr>
            <w:tcW w:w="0" w:type="auto"/>
            <w:vAlign w:val="center"/>
            <w:hideMark/>
          </w:tcPr>
          <w:p w14:paraId="21AD4050" w14:textId="77777777" w:rsidR="007438C5" w:rsidRPr="007438C5" w:rsidRDefault="007438C5" w:rsidP="007438C5">
            <w:pPr>
              <w:pStyle w:val="NormalWeb"/>
            </w:pPr>
            <w:r w:rsidRPr="007438C5">
              <w:t>Inflation Hotspots</w:t>
            </w:r>
          </w:p>
        </w:tc>
        <w:tc>
          <w:tcPr>
            <w:tcW w:w="0" w:type="auto"/>
            <w:vAlign w:val="center"/>
            <w:hideMark/>
          </w:tcPr>
          <w:p w14:paraId="0E88F03E" w14:textId="77777777" w:rsidR="007438C5" w:rsidRPr="007438C5" w:rsidRDefault="007438C5" w:rsidP="007438C5">
            <w:pPr>
              <w:pStyle w:val="NormalWeb"/>
            </w:pPr>
            <w:r w:rsidRPr="007438C5">
              <w:t>Countries like Venezuela require global economic aid and inflation control frameworks</w:t>
            </w:r>
          </w:p>
        </w:tc>
      </w:tr>
      <w:tr w:rsidR="007438C5" w:rsidRPr="007438C5" w14:paraId="42A4D7E3" w14:textId="77777777" w:rsidTr="007438C5">
        <w:trPr>
          <w:tblCellSpacing w:w="15" w:type="dxa"/>
        </w:trPr>
        <w:tc>
          <w:tcPr>
            <w:tcW w:w="0" w:type="auto"/>
            <w:vAlign w:val="center"/>
            <w:hideMark/>
          </w:tcPr>
          <w:p w14:paraId="48CBA3AA" w14:textId="77777777" w:rsidR="007438C5" w:rsidRPr="007438C5" w:rsidRDefault="007438C5" w:rsidP="007438C5">
            <w:pPr>
              <w:pStyle w:val="NormalWeb"/>
            </w:pPr>
            <w:r w:rsidRPr="007438C5">
              <w:t>Moderate Band Dominance</w:t>
            </w:r>
          </w:p>
        </w:tc>
        <w:tc>
          <w:tcPr>
            <w:tcW w:w="0" w:type="auto"/>
            <w:vAlign w:val="center"/>
            <w:hideMark/>
          </w:tcPr>
          <w:p w14:paraId="47527D7C" w14:textId="77777777" w:rsidR="007438C5" w:rsidRPr="007438C5" w:rsidRDefault="007438C5" w:rsidP="007438C5">
            <w:pPr>
              <w:pStyle w:val="NormalWeb"/>
            </w:pPr>
            <w:r w:rsidRPr="007438C5">
              <w:t>A positive sign showing most countries aim for inflation stabilization</w:t>
            </w:r>
          </w:p>
        </w:tc>
      </w:tr>
    </w:tbl>
    <w:p w14:paraId="4F8BD717" w14:textId="77777777" w:rsidR="007438C5" w:rsidRDefault="007438C5" w:rsidP="00D10015">
      <w:pPr>
        <w:pStyle w:val="NormalWeb"/>
        <w:rPr>
          <w:b/>
          <w:bCs/>
        </w:rPr>
      </w:pPr>
    </w:p>
    <w:p w14:paraId="232AA508" w14:textId="245E3832" w:rsidR="00D10015" w:rsidRDefault="00D10015" w:rsidP="00D10015">
      <w:pPr>
        <w:pStyle w:val="NormalWeb"/>
        <w:rPr>
          <w:b/>
          <w:bCs/>
        </w:rPr>
      </w:pPr>
      <w:r w:rsidRPr="00D10015">
        <w:rPr>
          <w:b/>
          <w:bCs/>
        </w:rPr>
        <w:t>Recommendations for Decision Makers</w:t>
      </w:r>
      <w:r>
        <w:rPr>
          <w:b/>
          <w:bCs/>
        </w:rPr>
        <w:t>:</w:t>
      </w:r>
    </w:p>
    <w:p w14:paraId="0D5E6808" w14:textId="77777777" w:rsidR="007438C5" w:rsidRPr="007438C5" w:rsidRDefault="007438C5" w:rsidP="007438C5">
      <w:pPr>
        <w:pStyle w:val="NormalWeb"/>
        <w:numPr>
          <w:ilvl w:val="0"/>
          <w:numId w:val="23"/>
        </w:numPr>
      </w:pPr>
      <w:r w:rsidRPr="007438C5">
        <w:rPr>
          <w:b/>
          <w:bCs/>
        </w:rPr>
        <w:t>Monetary Stabilization:</w:t>
      </w:r>
      <w:r w:rsidRPr="007438C5">
        <w:rPr>
          <w:b/>
          <w:bCs/>
        </w:rPr>
        <w:br/>
      </w:r>
      <w:r w:rsidRPr="007438C5">
        <w:t>Support high-volatility countries with policy consultancy (e.g., inflation targeting frameworks, FX controls).</w:t>
      </w:r>
    </w:p>
    <w:p w14:paraId="79C9B1E7" w14:textId="77777777" w:rsidR="007438C5" w:rsidRPr="007438C5" w:rsidRDefault="007438C5" w:rsidP="007438C5">
      <w:pPr>
        <w:pStyle w:val="NormalWeb"/>
        <w:numPr>
          <w:ilvl w:val="0"/>
          <w:numId w:val="23"/>
        </w:numPr>
      </w:pPr>
      <w:r w:rsidRPr="007438C5">
        <w:rPr>
          <w:b/>
          <w:bCs/>
        </w:rPr>
        <w:t>Data-Driven Governance:</w:t>
      </w:r>
      <w:r w:rsidRPr="007438C5">
        <w:rPr>
          <w:b/>
          <w:bCs/>
        </w:rPr>
        <w:br/>
      </w:r>
      <w:r w:rsidRPr="007438C5">
        <w:t>Use dashboards to simulate and monitor inflation projections under different economic scenarios.</w:t>
      </w:r>
    </w:p>
    <w:p w14:paraId="49BAD132" w14:textId="77777777" w:rsidR="007438C5" w:rsidRPr="007438C5" w:rsidRDefault="007438C5" w:rsidP="007438C5">
      <w:pPr>
        <w:pStyle w:val="NormalWeb"/>
        <w:numPr>
          <w:ilvl w:val="0"/>
          <w:numId w:val="23"/>
        </w:numPr>
      </w:pPr>
      <w:r w:rsidRPr="007438C5">
        <w:rPr>
          <w:b/>
          <w:bCs/>
        </w:rPr>
        <w:lastRenderedPageBreak/>
        <w:t>Support for Emerging Economies:</w:t>
      </w:r>
      <w:r w:rsidRPr="007438C5">
        <w:rPr>
          <w:b/>
          <w:bCs/>
        </w:rPr>
        <w:br/>
      </w:r>
      <w:r w:rsidRPr="007438C5">
        <w:t>Deploy central bank reserves, aid packages, and currency swaps to prevent hyperinflation in fragile economies.</w:t>
      </w:r>
    </w:p>
    <w:p w14:paraId="1EF842C2" w14:textId="77777777" w:rsidR="007438C5" w:rsidRPr="007438C5" w:rsidRDefault="007438C5" w:rsidP="007438C5">
      <w:pPr>
        <w:pStyle w:val="NormalWeb"/>
        <w:numPr>
          <w:ilvl w:val="0"/>
          <w:numId w:val="23"/>
        </w:numPr>
      </w:pPr>
      <w:r w:rsidRPr="007438C5">
        <w:rPr>
          <w:b/>
          <w:bCs/>
        </w:rPr>
        <w:t>Standardized Reporting:</w:t>
      </w:r>
      <w:r w:rsidRPr="007438C5">
        <w:rPr>
          <w:b/>
          <w:bCs/>
        </w:rPr>
        <w:br/>
      </w:r>
      <w:r w:rsidRPr="007438C5">
        <w:t>International institutions should adopt global CPI dashboards using tools like Power BI for better surveillance.</w:t>
      </w:r>
    </w:p>
    <w:p w14:paraId="5B153EF5" w14:textId="77777777" w:rsidR="00D10015" w:rsidRPr="00D10015" w:rsidRDefault="00D10015" w:rsidP="00D10015">
      <w:pPr>
        <w:pStyle w:val="NormalWeb"/>
        <w:jc w:val="both"/>
        <w:rPr>
          <w:b/>
          <w:bCs/>
        </w:rPr>
      </w:pPr>
    </w:p>
    <w:p w14:paraId="45855261" w14:textId="771CEEC0" w:rsidR="00720545" w:rsidRDefault="00720545"/>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47298"/>
    <w:multiLevelType w:val="multilevel"/>
    <w:tmpl w:val="060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66CD6"/>
    <w:multiLevelType w:val="multilevel"/>
    <w:tmpl w:val="13F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2226F"/>
    <w:multiLevelType w:val="multilevel"/>
    <w:tmpl w:val="55F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618C"/>
    <w:multiLevelType w:val="hybridMultilevel"/>
    <w:tmpl w:val="FB602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C177BEA"/>
    <w:multiLevelType w:val="multilevel"/>
    <w:tmpl w:val="4940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B39E8"/>
    <w:multiLevelType w:val="hybridMultilevel"/>
    <w:tmpl w:val="149E3214"/>
    <w:lvl w:ilvl="0" w:tplc="654C99BA">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68C7B5A"/>
    <w:multiLevelType w:val="multilevel"/>
    <w:tmpl w:val="137A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B0FAB"/>
    <w:multiLevelType w:val="multilevel"/>
    <w:tmpl w:val="724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86490"/>
    <w:multiLevelType w:val="hybridMultilevel"/>
    <w:tmpl w:val="56986E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B1E3CD5"/>
    <w:multiLevelType w:val="multilevel"/>
    <w:tmpl w:val="E9C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A3FD9"/>
    <w:multiLevelType w:val="multilevel"/>
    <w:tmpl w:val="4EA8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B3764"/>
    <w:multiLevelType w:val="multilevel"/>
    <w:tmpl w:val="4642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30B40"/>
    <w:multiLevelType w:val="multilevel"/>
    <w:tmpl w:val="83D4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07306"/>
    <w:multiLevelType w:val="hybridMultilevel"/>
    <w:tmpl w:val="D5D29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20"/>
  </w:num>
  <w:num w:numId="2" w16cid:durableId="1645432796">
    <w:abstractNumId w:val="13"/>
  </w:num>
  <w:num w:numId="3" w16cid:durableId="275448970">
    <w:abstractNumId w:val="4"/>
  </w:num>
  <w:num w:numId="4" w16cid:durableId="1463424373">
    <w:abstractNumId w:val="1"/>
  </w:num>
  <w:num w:numId="5" w16cid:durableId="1771975069">
    <w:abstractNumId w:val="6"/>
  </w:num>
  <w:num w:numId="6" w16cid:durableId="542443052">
    <w:abstractNumId w:val="2"/>
  </w:num>
  <w:num w:numId="7" w16cid:durableId="1289777035">
    <w:abstractNumId w:val="16"/>
  </w:num>
  <w:num w:numId="8" w16cid:durableId="674189717">
    <w:abstractNumId w:val="22"/>
  </w:num>
  <w:num w:numId="9" w16cid:durableId="1101997984">
    <w:abstractNumId w:val="0"/>
  </w:num>
  <w:num w:numId="10" w16cid:durableId="47805475">
    <w:abstractNumId w:val="8"/>
  </w:num>
  <w:num w:numId="11" w16cid:durableId="2007781282">
    <w:abstractNumId w:val="10"/>
  </w:num>
  <w:num w:numId="12" w16cid:durableId="573667851">
    <w:abstractNumId w:val="7"/>
  </w:num>
  <w:num w:numId="13" w16cid:durableId="22948645">
    <w:abstractNumId w:val="15"/>
  </w:num>
  <w:num w:numId="14" w16cid:durableId="1874532015">
    <w:abstractNumId w:val="11"/>
  </w:num>
  <w:num w:numId="15" w16cid:durableId="1393045390">
    <w:abstractNumId w:val="17"/>
  </w:num>
  <w:num w:numId="16" w16cid:durableId="638075573">
    <w:abstractNumId w:val="3"/>
  </w:num>
  <w:num w:numId="17" w16cid:durableId="860780993">
    <w:abstractNumId w:val="9"/>
  </w:num>
  <w:num w:numId="18" w16cid:durableId="1362319452">
    <w:abstractNumId w:val="21"/>
  </w:num>
  <w:num w:numId="19" w16cid:durableId="337849847">
    <w:abstractNumId w:val="18"/>
  </w:num>
  <w:num w:numId="20" w16cid:durableId="256837297">
    <w:abstractNumId w:val="5"/>
  </w:num>
  <w:num w:numId="21" w16cid:durableId="109209989">
    <w:abstractNumId w:val="12"/>
  </w:num>
  <w:num w:numId="22" w16cid:durableId="740908624">
    <w:abstractNumId w:val="14"/>
  </w:num>
  <w:num w:numId="23" w16cid:durableId="14706348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0C3793"/>
    <w:rsid w:val="001D4F63"/>
    <w:rsid w:val="005A1A99"/>
    <w:rsid w:val="00642171"/>
    <w:rsid w:val="00720545"/>
    <w:rsid w:val="007438C5"/>
    <w:rsid w:val="00886F06"/>
    <w:rsid w:val="009B2F4A"/>
    <w:rsid w:val="00A136B3"/>
    <w:rsid w:val="00A20696"/>
    <w:rsid w:val="00AF7735"/>
    <w:rsid w:val="00BB347E"/>
    <w:rsid w:val="00D043A9"/>
    <w:rsid w:val="00D10015"/>
    <w:rsid w:val="00F3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45184702">
      <w:bodyDiv w:val="1"/>
      <w:marLeft w:val="0"/>
      <w:marRight w:val="0"/>
      <w:marTop w:val="0"/>
      <w:marBottom w:val="0"/>
      <w:divBdr>
        <w:top w:val="none" w:sz="0" w:space="0" w:color="auto"/>
        <w:left w:val="none" w:sz="0" w:space="0" w:color="auto"/>
        <w:bottom w:val="none" w:sz="0" w:space="0" w:color="auto"/>
        <w:right w:val="none" w:sz="0" w:space="0" w:color="auto"/>
      </w:divBdr>
    </w:div>
    <w:div w:id="91627588">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169680075">
      <w:bodyDiv w:val="1"/>
      <w:marLeft w:val="0"/>
      <w:marRight w:val="0"/>
      <w:marTop w:val="0"/>
      <w:marBottom w:val="0"/>
      <w:divBdr>
        <w:top w:val="none" w:sz="0" w:space="0" w:color="auto"/>
        <w:left w:val="none" w:sz="0" w:space="0" w:color="auto"/>
        <w:bottom w:val="none" w:sz="0" w:space="0" w:color="auto"/>
        <w:right w:val="none" w:sz="0" w:space="0" w:color="auto"/>
      </w:divBdr>
    </w:div>
    <w:div w:id="239339078">
      <w:bodyDiv w:val="1"/>
      <w:marLeft w:val="0"/>
      <w:marRight w:val="0"/>
      <w:marTop w:val="0"/>
      <w:marBottom w:val="0"/>
      <w:divBdr>
        <w:top w:val="none" w:sz="0" w:space="0" w:color="auto"/>
        <w:left w:val="none" w:sz="0" w:space="0" w:color="auto"/>
        <w:bottom w:val="none" w:sz="0" w:space="0" w:color="auto"/>
        <w:right w:val="none" w:sz="0" w:space="0" w:color="auto"/>
      </w:divBdr>
    </w:div>
    <w:div w:id="285502791">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23166551">
      <w:bodyDiv w:val="1"/>
      <w:marLeft w:val="0"/>
      <w:marRight w:val="0"/>
      <w:marTop w:val="0"/>
      <w:marBottom w:val="0"/>
      <w:divBdr>
        <w:top w:val="none" w:sz="0" w:space="0" w:color="auto"/>
        <w:left w:val="none" w:sz="0" w:space="0" w:color="auto"/>
        <w:bottom w:val="none" w:sz="0" w:space="0" w:color="auto"/>
        <w:right w:val="none" w:sz="0" w:space="0" w:color="auto"/>
      </w:divBdr>
    </w:div>
    <w:div w:id="377126416">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385883098">
      <w:bodyDiv w:val="1"/>
      <w:marLeft w:val="0"/>
      <w:marRight w:val="0"/>
      <w:marTop w:val="0"/>
      <w:marBottom w:val="0"/>
      <w:divBdr>
        <w:top w:val="none" w:sz="0" w:space="0" w:color="auto"/>
        <w:left w:val="none" w:sz="0" w:space="0" w:color="auto"/>
        <w:bottom w:val="none" w:sz="0" w:space="0" w:color="auto"/>
        <w:right w:val="none" w:sz="0" w:space="0" w:color="auto"/>
      </w:divBdr>
    </w:div>
    <w:div w:id="418910020">
      <w:bodyDiv w:val="1"/>
      <w:marLeft w:val="0"/>
      <w:marRight w:val="0"/>
      <w:marTop w:val="0"/>
      <w:marBottom w:val="0"/>
      <w:divBdr>
        <w:top w:val="none" w:sz="0" w:space="0" w:color="auto"/>
        <w:left w:val="none" w:sz="0" w:space="0" w:color="auto"/>
        <w:bottom w:val="none" w:sz="0" w:space="0" w:color="auto"/>
        <w:right w:val="none" w:sz="0" w:space="0" w:color="auto"/>
      </w:divBdr>
    </w:div>
    <w:div w:id="486555752">
      <w:bodyDiv w:val="1"/>
      <w:marLeft w:val="0"/>
      <w:marRight w:val="0"/>
      <w:marTop w:val="0"/>
      <w:marBottom w:val="0"/>
      <w:divBdr>
        <w:top w:val="none" w:sz="0" w:space="0" w:color="auto"/>
        <w:left w:val="none" w:sz="0" w:space="0" w:color="auto"/>
        <w:bottom w:val="none" w:sz="0" w:space="0" w:color="auto"/>
        <w:right w:val="none" w:sz="0" w:space="0" w:color="auto"/>
      </w:divBdr>
    </w:div>
    <w:div w:id="576790429">
      <w:bodyDiv w:val="1"/>
      <w:marLeft w:val="0"/>
      <w:marRight w:val="0"/>
      <w:marTop w:val="0"/>
      <w:marBottom w:val="0"/>
      <w:divBdr>
        <w:top w:val="none" w:sz="0" w:space="0" w:color="auto"/>
        <w:left w:val="none" w:sz="0" w:space="0" w:color="auto"/>
        <w:bottom w:val="none" w:sz="0" w:space="0" w:color="auto"/>
        <w:right w:val="none" w:sz="0" w:space="0" w:color="auto"/>
      </w:divBdr>
    </w:div>
    <w:div w:id="642854514">
      <w:bodyDiv w:val="1"/>
      <w:marLeft w:val="0"/>
      <w:marRight w:val="0"/>
      <w:marTop w:val="0"/>
      <w:marBottom w:val="0"/>
      <w:divBdr>
        <w:top w:val="none" w:sz="0" w:space="0" w:color="auto"/>
        <w:left w:val="none" w:sz="0" w:space="0" w:color="auto"/>
        <w:bottom w:val="none" w:sz="0" w:space="0" w:color="auto"/>
        <w:right w:val="none" w:sz="0" w:space="0" w:color="auto"/>
      </w:divBdr>
    </w:div>
    <w:div w:id="645860779">
      <w:bodyDiv w:val="1"/>
      <w:marLeft w:val="0"/>
      <w:marRight w:val="0"/>
      <w:marTop w:val="0"/>
      <w:marBottom w:val="0"/>
      <w:divBdr>
        <w:top w:val="none" w:sz="0" w:space="0" w:color="auto"/>
        <w:left w:val="none" w:sz="0" w:space="0" w:color="auto"/>
        <w:bottom w:val="none" w:sz="0" w:space="0" w:color="auto"/>
        <w:right w:val="none" w:sz="0" w:space="0" w:color="auto"/>
      </w:divBdr>
    </w:div>
    <w:div w:id="661856357">
      <w:bodyDiv w:val="1"/>
      <w:marLeft w:val="0"/>
      <w:marRight w:val="0"/>
      <w:marTop w:val="0"/>
      <w:marBottom w:val="0"/>
      <w:divBdr>
        <w:top w:val="none" w:sz="0" w:space="0" w:color="auto"/>
        <w:left w:val="none" w:sz="0" w:space="0" w:color="auto"/>
        <w:bottom w:val="none" w:sz="0" w:space="0" w:color="auto"/>
        <w:right w:val="none" w:sz="0" w:space="0" w:color="auto"/>
      </w:divBdr>
    </w:div>
    <w:div w:id="679625089">
      <w:bodyDiv w:val="1"/>
      <w:marLeft w:val="0"/>
      <w:marRight w:val="0"/>
      <w:marTop w:val="0"/>
      <w:marBottom w:val="0"/>
      <w:divBdr>
        <w:top w:val="none" w:sz="0" w:space="0" w:color="auto"/>
        <w:left w:val="none" w:sz="0" w:space="0" w:color="auto"/>
        <w:bottom w:val="none" w:sz="0" w:space="0" w:color="auto"/>
        <w:right w:val="none" w:sz="0" w:space="0" w:color="auto"/>
      </w:divBdr>
    </w:div>
    <w:div w:id="711808341">
      <w:bodyDiv w:val="1"/>
      <w:marLeft w:val="0"/>
      <w:marRight w:val="0"/>
      <w:marTop w:val="0"/>
      <w:marBottom w:val="0"/>
      <w:divBdr>
        <w:top w:val="none" w:sz="0" w:space="0" w:color="auto"/>
        <w:left w:val="none" w:sz="0" w:space="0" w:color="auto"/>
        <w:bottom w:val="none" w:sz="0" w:space="0" w:color="auto"/>
        <w:right w:val="none" w:sz="0" w:space="0" w:color="auto"/>
      </w:divBdr>
    </w:div>
    <w:div w:id="861817967">
      <w:bodyDiv w:val="1"/>
      <w:marLeft w:val="0"/>
      <w:marRight w:val="0"/>
      <w:marTop w:val="0"/>
      <w:marBottom w:val="0"/>
      <w:divBdr>
        <w:top w:val="none" w:sz="0" w:space="0" w:color="auto"/>
        <w:left w:val="none" w:sz="0" w:space="0" w:color="auto"/>
        <w:bottom w:val="none" w:sz="0" w:space="0" w:color="auto"/>
        <w:right w:val="none" w:sz="0" w:space="0" w:color="auto"/>
      </w:divBdr>
    </w:div>
    <w:div w:id="873886328">
      <w:bodyDiv w:val="1"/>
      <w:marLeft w:val="0"/>
      <w:marRight w:val="0"/>
      <w:marTop w:val="0"/>
      <w:marBottom w:val="0"/>
      <w:divBdr>
        <w:top w:val="none" w:sz="0" w:space="0" w:color="auto"/>
        <w:left w:val="none" w:sz="0" w:space="0" w:color="auto"/>
        <w:bottom w:val="none" w:sz="0" w:space="0" w:color="auto"/>
        <w:right w:val="none" w:sz="0" w:space="0" w:color="auto"/>
      </w:divBdr>
    </w:div>
    <w:div w:id="896285513">
      <w:bodyDiv w:val="1"/>
      <w:marLeft w:val="0"/>
      <w:marRight w:val="0"/>
      <w:marTop w:val="0"/>
      <w:marBottom w:val="0"/>
      <w:divBdr>
        <w:top w:val="none" w:sz="0" w:space="0" w:color="auto"/>
        <w:left w:val="none" w:sz="0" w:space="0" w:color="auto"/>
        <w:bottom w:val="none" w:sz="0" w:space="0" w:color="auto"/>
        <w:right w:val="none" w:sz="0" w:space="0" w:color="auto"/>
      </w:divBdr>
    </w:div>
    <w:div w:id="940256196">
      <w:bodyDiv w:val="1"/>
      <w:marLeft w:val="0"/>
      <w:marRight w:val="0"/>
      <w:marTop w:val="0"/>
      <w:marBottom w:val="0"/>
      <w:divBdr>
        <w:top w:val="none" w:sz="0" w:space="0" w:color="auto"/>
        <w:left w:val="none" w:sz="0" w:space="0" w:color="auto"/>
        <w:bottom w:val="none" w:sz="0" w:space="0" w:color="auto"/>
        <w:right w:val="none" w:sz="0" w:space="0" w:color="auto"/>
      </w:divBdr>
    </w:div>
    <w:div w:id="987171015">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005131877">
      <w:bodyDiv w:val="1"/>
      <w:marLeft w:val="0"/>
      <w:marRight w:val="0"/>
      <w:marTop w:val="0"/>
      <w:marBottom w:val="0"/>
      <w:divBdr>
        <w:top w:val="none" w:sz="0" w:space="0" w:color="auto"/>
        <w:left w:val="none" w:sz="0" w:space="0" w:color="auto"/>
        <w:bottom w:val="none" w:sz="0" w:space="0" w:color="auto"/>
        <w:right w:val="none" w:sz="0" w:space="0" w:color="auto"/>
      </w:divBdr>
    </w:div>
    <w:div w:id="1070076160">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184132194">
      <w:bodyDiv w:val="1"/>
      <w:marLeft w:val="0"/>
      <w:marRight w:val="0"/>
      <w:marTop w:val="0"/>
      <w:marBottom w:val="0"/>
      <w:divBdr>
        <w:top w:val="none" w:sz="0" w:space="0" w:color="auto"/>
        <w:left w:val="none" w:sz="0" w:space="0" w:color="auto"/>
        <w:bottom w:val="none" w:sz="0" w:space="0" w:color="auto"/>
        <w:right w:val="none" w:sz="0" w:space="0" w:color="auto"/>
      </w:divBdr>
    </w:div>
    <w:div w:id="1300187446">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77005589">
      <w:bodyDiv w:val="1"/>
      <w:marLeft w:val="0"/>
      <w:marRight w:val="0"/>
      <w:marTop w:val="0"/>
      <w:marBottom w:val="0"/>
      <w:divBdr>
        <w:top w:val="none" w:sz="0" w:space="0" w:color="auto"/>
        <w:left w:val="none" w:sz="0" w:space="0" w:color="auto"/>
        <w:bottom w:val="none" w:sz="0" w:space="0" w:color="auto"/>
        <w:right w:val="none" w:sz="0" w:space="0" w:color="auto"/>
      </w:divBdr>
    </w:div>
    <w:div w:id="1414158191">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494838564">
      <w:bodyDiv w:val="1"/>
      <w:marLeft w:val="0"/>
      <w:marRight w:val="0"/>
      <w:marTop w:val="0"/>
      <w:marBottom w:val="0"/>
      <w:divBdr>
        <w:top w:val="none" w:sz="0" w:space="0" w:color="auto"/>
        <w:left w:val="none" w:sz="0" w:space="0" w:color="auto"/>
        <w:bottom w:val="none" w:sz="0" w:space="0" w:color="auto"/>
        <w:right w:val="none" w:sz="0" w:space="0" w:color="auto"/>
      </w:divBdr>
    </w:div>
    <w:div w:id="1530800466">
      <w:bodyDiv w:val="1"/>
      <w:marLeft w:val="0"/>
      <w:marRight w:val="0"/>
      <w:marTop w:val="0"/>
      <w:marBottom w:val="0"/>
      <w:divBdr>
        <w:top w:val="none" w:sz="0" w:space="0" w:color="auto"/>
        <w:left w:val="none" w:sz="0" w:space="0" w:color="auto"/>
        <w:bottom w:val="none" w:sz="0" w:space="0" w:color="auto"/>
        <w:right w:val="none" w:sz="0" w:space="0" w:color="auto"/>
      </w:divBdr>
    </w:div>
    <w:div w:id="1535267773">
      <w:bodyDiv w:val="1"/>
      <w:marLeft w:val="0"/>
      <w:marRight w:val="0"/>
      <w:marTop w:val="0"/>
      <w:marBottom w:val="0"/>
      <w:divBdr>
        <w:top w:val="none" w:sz="0" w:space="0" w:color="auto"/>
        <w:left w:val="none" w:sz="0" w:space="0" w:color="auto"/>
        <w:bottom w:val="none" w:sz="0" w:space="0" w:color="auto"/>
        <w:right w:val="none" w:sz="0" w:space="0" w:color="auto"/>
      </w:divBdr>
    </w:div>
    <w:div w:id="1557164366">
      <w:bodyDiv w:val="1"/>
      <w:marLeft w:val="0"/>
      <w:marRight w:val="0"/>
      <w:marTop w:val="0"/>
      <w:marBottom w:val="0"/>
      <w:divBdr>
        <w:top w:val="none" w:sz="0" w:space="0" w:color="auto"/>
        <w:left w:val="none" w:sz="0" w:space="0" w:color="auto"/>
        <w:bottom w:val="none" w:sz="0" w:space="0" w:color="auto"/>
        <w:right w:val="none" w:sz="0" w:space="0" w:color="auto"/>
      </w:divBdr>
    </w:div>
    <w:div w:id="1559591567">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664703098">
      <w:bodyDiv w:val="1"/>
      <w:marLeft w:val="0"/>
      <w:marRight w:val="0"/>
      <w:marTop w:val="0"/>
      <w:marBottom w:val="0"/>
      <w:divBdr>
        <w:top w:val="none" w:sz="0" w:space="0" w:color="auto"/>
        <w:left w:val="none" w:sz="0" w:space="0" w:color="auto"/>
        <w:bottom w:val="none" w:sz="0" w:space="0" w:color="auto"/>
        <w:right w:val="none" w:sz="0" w:space="0" w:color="auto"/>
      </w:divBdr>
    </w:div>
    <w:div w:id="1674870111">
      <w:bodyDiv w:val="1"/>
      <w:marLeft w:val="0"/>
      <w:marRight w:val="0"/>
      <w:marTop w:val="0"/>
      <w:marBottom w:val="0"/>
      <w:divBdr>
        <w:top w:val="none" w:sz="0" w:space="0" w:color="auto"/>
        <w:left w:val="none" w:sz="0" w:space="0" w:color="auto"/>
        <w:bottom w:val="none" w:sz="0" w:space="0" w:color="auto"/>
        <w:right w:val="none" w:sz="0" w:space="0" w:color="auto"/>
      </w:divBdr>
    </w:div>
    <w:div w:id="1685017976">
      <w:bodyDiv w:val="1"/>
      <w:marLeft w:val="0"/>
      <w:marRight w:val="0"/>
      <w:marTop w:val="0"/>
      <w:marBottom w:val="0"/>
      <w:divBdr>
        <w:top w:val="none" w:sz="0" w:space="0" w:color="auto"/>
        <w:left w:val="none" w:sz="0" w:space="0" w:color="auto"/>
        <w:bottom w:val="none" w:sz="0" w:space="0" w:color="auto"/>
        <w:right w:val="none" w:sz="0" w:space="0" w:color="auto"/>
      </w:divBdr>
    </w:div>
    <w:div w:id="1701082828">
      <w:bodyDiv w:val="1"/>
      <w:marLeft w:val="0"/>
      <w:marRight w:val="0"/>
      <w:marTop w:val="0"/>
      <w:marBottom w:val="0"/>
      <w:divBdr>
        <w:top w:val="none" w:sz="0" w:space="0" w:color="auto"/>
        <w:left w:val="none" w:sz="0" w:space="0" w:color="auto"/>
        <w:bottom w:val="none" w:sz="0" w:space="0" w:color="auto"/>
        <w:right w:val="none" w:sz="0" w:space="0" w:color="auto"/>
      </w:divBdr>
    </w:div>
    <w:div w:id="1750619588">
      <w:bodyDiv w:val="1"/>
      <w:marLeft w:val="0"/>
      <w:marRight w:val="0"/>
      <w:marTop w:val="0"/>
      <w:marBottom w:val="0"/>
      <w:divBdr>
        <w:top w:val="none" w:sz="0" w:space="0" w:color="auto"/>
        <w:left w:val="none" w:sz="0" w:space="0" w:color="auto"/>
        <w:bottom w:val="none" w:sz="0" w:space="0" w:color="auto"/>
        <w:right w:val="none" w:sz="0" w:space="0" w:color="auto"/>
      </w:divBdr>
    </w:div>
    <w:div w:id="1754932289">
      <w:bodyDiv w:val="1"/>
      <w:marLeft w:val="0"/>
      <w:marRight w:val="0"/>
      <w:marTop w:val="0"/>
      <w:marBottom w:val="0"/>
      <w:divBdr>
        <w:top w:val="none" w:sz="0" w:space="0" w:color="auto"/>
        <w:left w:val="none" w:sz="0" w:space="0" w:color="auto"/>
        <w:bottom w:val="none" w:sz="0" w:space="0" w:color="auto"/>
        <w:right w:val="none" w:sz="0" w:space="0" w:color="auto"/>
      </w:divBdr>
    </w:div>
    <w:div w:id="1786340064">
      <w:bodyDiv w:val="1"/>
      <w:marLeft w:val="0"/>
      <w:marRight w:val="0"/>
      <w:marTop w:val="0"/>
      <w:marBottom w:val="0"/>
      <w:divBdr>
        <w:top w:val="none" w:sz="0" w:space="0" w:color="auto"/>
        <w:left w:val="none" w:sz="0" w:space="0" w:color="auto"/>
        <w:bottom w:val="none" w:sz="0" w:space="0" w:color="auto"/>
        <w:right w:val="none" w:sz="0" w:space="0" w:color="auto"/>
      </w:divBdr>
    </w:div>
    <w:div w:id="1821116844">
      <w:bodyDiv w:val="1"/>
      <w:marLeft w:val="0"/>
      <w:marRight w:val="0"/>
      <w:marTop w:val="0"/>
      <w:marBottom w:val="0"/>
      <w:divBdr>
        <w:top w:val="none" w:sz="0" w:space="0" w:color="auto"/>
        <w:left w:val="none" w:sz="0" w:space="0" w:color="auto"/>
        <w:bottom w:val="none" w:sz="0" w:space="0" w:color="auto"/>
        <w:right w:val="none" w:sz="0" w:space="0" w:color="auto"/>
      </w:divBdr>
    </w:div>
    <w:div w:id="1860043519">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1873226815">
      <w:bodyDiv w:val="1"/>
      <w:marLeft w:val="0"/>
      <w:marRight w:val="0"/>
      <w:marTop w:val="0"/>
      <w:marBottom w:val="0"/>
      <w:divBdr>
        <w:top w:val="none" w:sz="0" w:space="0" w:color="auto"/>
        <w:left w:val="none" w:sz="0" w:space="0" w:color="auto"/>
        <w:bottom w:val="none" w:sz="0" w:space="0" w:color="auto"/>
        <w:right w:val="none" w:sz="0" w:space="0" w:color="auto"/>
      </w:divBdr>
    </w:div>
    <w:div w:id="1891258714">
      <w:bodyDiv w:val="1"/>
      <w:marLeft w:val="0"/>
      <w:marRight w:val="0"/>
      <w:marTop w:val="0"/>
      <w:marBottom w:val="0"/>
      <w:divBdr>
        <w:top w:val="none" w:sz="0" w:space="0" w:color="auto"/>
        <w:left w:val="none" w:sz="0" w:space="0" w:color="auto"/>
        <w:bottom w:val="none" w:sz="0" w:space="0" w:color="auto"/>
        <w:right w:val="none" w:sz="0" w:space="0" w:color="auto"/>
      </w:divBdr>
    </w:div>
    <w:div w:id="1919553901">
      <w:bodyDiv w:val="1"/>
      <w:marLeft w:val="0"/>
      <w:marRight w:val="0"/>
      <w:marTop w:val="0"/>
      <w:marBottom w:val="0"/>
      <w:divBdr>
        <w:top w:val="none" w:sz="0" w:space="0" w:color="auto"/>
        <w:left w:val="none" w:sz="0" w:space="0" w:color="auto"/>
        <w:bottom w:val="none" w:sz="0" w:space="0" w:color="auto"/>
        <w:right w:val="none" w:sz="0" w:space="0" w:color="auto"/>
      </w:divBdr>
    </w:div>
    <w:div w:id="1946812643">
      <w:bodyDiv w:val="1"/>
      <w:marLeft w:val="0"/>
      <w:marRight w:val="0"/>
      <w:marTop w:val="0"/>
      <w:marBottom w:val="0"/>
      <w:divBdr>
        <w:top w:val="none" w:sz="0" w:space="0" w:color="auto"/>
        <w:left w:val="none" w:sz="0" w:space="0" w:color="auto"/>
        <w:bottom w:val="none" w:sz="0" w:space="0" w:color="auto"/>
        <w:right w:val="none" w:sz="0" w:space="0" w:color="auto"/>
      </w:divBdr>
    </w:div>
    <w:div w:id="2009749041">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 w:id="2029091493">
      <w:bodyDiv w:val="1"/>
      <w:marLeft w:val="0"/>
      <w:marRight w:val="0"/>
      <w:marTop w:val="0"/>
      <w:marBottom w:val="0"/>
      <w:divBdr>
        <w:top w:val="none" w:sz="0" w:space="0" w:color="auto"/>
        <w:left w:val="none" w:sz="0" w:space="0" w:color="auto"/>
        <w:bottom w:val="none" w:sz="0" w:space="0" w:color="auto"/>
        <w:right w:val="none" w:sz="0" w:space="0" w:color="auto"/>
      </w:divBdr>
    </w:div>
    <w:div w:id="2073115852">
      <w:bodyDiv w:val="1"/>
      <w:marLeft w:val="0"/>
      <w:marRight w:val="0"/>
      <w:marTop w:val="0"/>
      <w:marBottom w:val="0"/>
      <w:divBdr>
        <w:top w:val="none" w:sz="0" w:space="0" w:color="auto"/>
        <w:left w:val="none" w:sz="0" w:space="0" w:color="auto"/>
        <w:bottom w:val="none" w:sz="0" w:space="0" w:color="auto"/>
        <w:right w:val="none" w:sz="0" w:space="0" w:color="auto"/>
      </w:divBdr>
    </w:div>
    <w:div w:id="2096776510">
      <w:bodyDiv w:val="1"/>
      <w:marLeft w:val="0"/>
      <w:marRight w:val="0"/>
      <w:marTop w:val="0"/>
      <w:marBottom w:val="0"/>
      <w:divBdr>
        <w:top w:val="none" w:sz="0" w:space="0" w:color="auto"/>
        <w:left w:val="none" w:sz="0" w:space="0" w:color="auto"/>
        <w:bottom w:val="none" w:sz="0" w:space="0" w:color="auto"/>
        <w:right w:val="none" w:sz="0" w:space="0" w:color="auto"/>
      </w:divBdr>
    </w:div>
    <w:div w:id="2111002758">
      <w:bodyDiv w:val="1"/>
      <w:marLeft w:val="0"/>
      <w:marRight w:val="0"/>
      <w:marTop w:val="0"/>
      <w:marBottom w:val="0"/>
      <w:divBdr>
        <w:top w:val="none" w:sz="0" w:space="0" w:color="auto"/>
        <w:left w:val="none" w:sz="0" w:space="0" w:color="auto"/>
        <w:bottom w:val="none" w:sz="0" w:space="0" w:color="auto"/>
        <w:right w:val="none" w:sz="0" w:space="0" w:color="auto"/>
      </w:divBdr>
    </w:div>
    <w:div w:id="212658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Ananya Kulkarni</cp:lastModifiedBy>
  <cp:revision>6</cp:revision>
  <dcterms:created xsi:type="dcterms:W3CDTF">2024-01-13T08:53:00Z</dcterms:created>
  <dcterms:modified xsi:type="dcterms:W3CDTF">2025-06-26T17:16:00Z</dcterms:modified>
</cp:coreProperties>
</file>