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3" w14:textId="60B6BB3B" w:rsidR="006F1EF2" w:rsidRPr="00583B8C" w:rsidRDefault="00D85380" w:rsidP="00366953">
      <w:pPr>
        <w:widowControl w:val="0"/>
        <w:pBdr>
          <w:top w:val="nil"/>
          <w:left w:val="nil"/>
          <w:bottom w:val="nil"/>
          <w:right w:val="nil"/>
          <w:between w:val="nil"/>
        </w:pBdr>
        <w:spacing w:after="0"/>
        <w:rPr>
          <w:rFonts w:asciiTheme="minorHAnsi" w:eastAsia="Times New Roman" w:hAnsiTheme="minorHAnsi" w:cstheme="minorHAnsi"/>
          <w:b/>
          <w:sz w:val="24"/>
          <w:szCs w:val="24"/>
        </w:rPr>
      </w:pPr>
      <w:r w:rsidRPr="00583B8C">
        <w:rPr>
          <w:rFonts w:asciiTheme="minorHAnsi" w:hAnsiTheme="minorHAnsi" w:cstheme="minorHAnsi"/>
          <w:sz w:val="24"/>
          <w:szCs w:val="24"/>
        </w:rPr>
        <w:pict w14:anchorId="70A5F3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0pt;height:50pt;z-index:251656704;visibility:hidden">
            <o:lock v:ext="edit" selection="t"/>
          </v:shape>
        </w:pict>
      </w:r>
      <w:r w:rsidRPr="00583B8C">
        <w:rPr>
          <w:rFonts w:asciiTheme="minorHAnsi" w:hAnsiTheme="minorHAnsi" w:cstheme="minorHAnsi"/>
          <w:sz w:val="24"/>
          <w:szCs w:val="24"/>
        </w:rPr>
        <w:pict w14:anchorId="296C84EA">
          <v:shape id="_x0000_s1027" type="#_x0000_t136" style="position:absolute;margin-left:0;margin-top:0;width:50pt;height:50pt;z-index:251657728;visibility:hidden">
            <o:lock v:ext="edit" selection="t"/>
          </v:shape>
        </w:pict>
      </w:r>
      <w:r w:rsidRPr="00583B8C">
        <w:rPr>
          <w:rFonts w:asciiTheme="minorHAnsi" w:hAnsiTheme="minorHAnsi" w:cstheme="minorHAnsi"/>
          <w:sz w:val="24"/>
          <w:szCs w:val="24"/>
        </w:rPr>
        <w:pict w14:anchorId="369A4C48">
          <v:shape id="_x0000_s1026" type="#_x0000_t136" style="position:absolute;margin-left:0;margin-top:0;width:50pt;height:50pt;z-index:251658752;visibility:hidden">
            <o:lock v:ext="edit" selection="t"/>
          </v:shape>
        </w:pict>
      </w:r>
    </w:p>
    <w:p w14:paraId="00000004" w14:textId="77777777" w:rsidR="006F1EF2" w:rsidRPr="00583B8C" w:rsidRDefault="006F1EF2">
      <w:pPr>
        <w:tabs>
          <w:tab w:val="left" w:pos="720"/>
        </w:tabs>
        <w:spacing w:after="0" w:line="240" w:lineRule="auto"/>
        <w:rPr>
          <w:rFonts w:asciiTheme="minorHAnsi" w:eastAsia="Times New Roman" w:hAnsiTheme="minorHAnsi" w:cstheme="minorHAnsi"/>
          <w:b/>
          <w:sz w:val="24"/>
          <w:szCs w:val="24"/>
        </w:rPr>
      </w:pPr>
    </w:p>
    <w:p w14:paraId="00000005" w14:textId="77777777" w:rsidR="006F1EF2" w:rsidRPr="00583B8C" w:rsidRDefault="00D8538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heme="minorHAnsi" w:eastAsia="Times New Roman" w:hAnsiTheme="minorHAnsi" w:cstheme="minorHAnsi"/>
          <w:sz w:val="24"/>
          <w:szCs w:val="24"/>
        </w:rPr>
      </w:pPr>
      <w:r w:rsidRPr="00583B8C">
        <w:rPr>
          <w:rFonts w:asciiTheme="minorHAnsi" w:eastAsia="Times New Roman" w:hAnsiTheme="minorHAnsi" w:cstheme="minorHAnsi"/>
          <w:sz w:val="24"/>
          <w:szCs w:val="24"/>
        </w:rPr>
        <w:t>To:</w:t>
      </w:r>
      <w:r w:rsidRPr="00583B8C">
        <w:rPr>
          <w:rFonts w:asciiTheme="minorHAnsi" w:eastAsia="Times New Roman" w:hAnsiTheme="minorHAnsi" w:cstheme="minorHAnsi"/>
          <w:b/>
          <w:sz w:val="24"/>
          <w:szCs w:val="24"/>
        </w:rPr>
        <w:tab/>
      </w:r>
      <w:r w:rsidRPr="00583B8C">
        <w:rPr>
          <w:rFonts w:asciiTheme="minorHAnsi" w:eastAsia="Times New Roman" w:hAnsiTheme="minorHAnsi" w:cstheme="minorHAnsi"/>
          <w:b/>
          <w:sz w:val="24"/>
          <w:szCs w:val="24"/>
        </w:rPr>
        <w:tab/>
        <w:t>VP of Tax, Client</w:t>
      </w:r>
      <w:r w:rsidRPr="00583B8C">
        <w:rPr>
          <w:rFonts w:asciiTheme="minorHAnsi" w:eastAsia="Times New Roman" w:hAnsiTheme="minorHAnsi" w:cstheme="minorHAnsi"/>
          <w:sz w:val="24"/>
          <w:szCs w:val="24"/>
        </w:rPr>
        <w:tab/>
      </w:r>
      <w:r w:rsidRPr="00583B8C">
        <w:rPr>
          <w:rFonts w:asciiTheme="minorHAnsi" w:eastAsia="Times New Roman" w:hAnsiTheme="minorHAnsi" w:cstheme="minorHAnsi"/>
          <w:sz w:val="24"/>
          <w:szCs w:val="24"/>
        </w:rPr>
        <w:tab/>
      </w:r>
      <w:r w:rsidRPr="00583B8C">
        <w:rPr>
          <w:rFonts w:asciiTheme="minorHAnsi" w:eastAsia="Times New Roman" w:hAnsiTheme="minorHAnsi" w:cstheme="minorHAnsi"/>
          <w:sz w:val="24"/>
          <w:szCs w:val="24"/>
        </w:rPr>
        <w:tab/>
      </w:r>
    </w:p>
    <w:p w14:paraId="00000006" w14:textId="4C3C9C38" w:rsidR="006F1EF2" w:rsidRPr="00583B8C" w:rsidRDefault="003669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heme="minorHAnsi" w:eastAsia="Times New Roman" w:hAnsiTheme="minorHAnsi" w:cstheme="minorHAnsi"/>
          <w:sz w:val="24"/>
          <w:szCs w:val="24"/>
        </w:rPr>
      </w:pPr>
      <w:r w:rsidRPr="00583B8C">
        <w:rPr>
          <w:rFonts w:asciiTheme="minorHAnsi" w:eastAsia="Times New Roman" w:hAnsiTheme="minorHAnsi" w:cstheme="minorHAnsi"/>
          <w:sz w:val="24"/>
          <w:szCs w:val="24"/>
        </w:rPr>
        <w:t>From:</w:t>
      </w:r>
      <w:r w:rsidRPr="00583B8C">
        <w:rPr>
          <w:rFonts w:asciiTheme="minorHAnsi" w:eastAsia="Times New Roman" w:hAnsiTheme="minorHAnsi" w:cstheme="minorHAnsi"/>
          <w:sz w:val="24"/>
          <w:szCs w:val="24"/>
        </w:rPr>
        <w:tab/>
      </w:r>
      <w:r w:rsidRPr="00583B8C">
        <w:rPr>
          <w:rFonts w:asciiTheme="minorHAnsi" w:eastAsia="Times New Roman" w:hAnsiTheme="minorHAnsi" w:cstheme="minorHAnsi"/>
          <w:sz w:val="24"/>
          <w:szCs w:val="24"/>
        </w:rPr>
        <w:tab/>
        <w:t>Ananya</w:t>
      </w:r>
      <w:r w:rsidR="00D85380" w:rsidRPr="00583B8C">
        <w:rPr>
          <w:rFonts w:asciiTheme="minorHAnsi" w:eastAsia="Times New Roman" w:hAnsiTheme="minorHAnsi" w:cstheme="minorHAnsi"/>
          <w:sz w:val="24"/>
          <w:szCs w:val="24"/>
        </w:rPr>
        <w:t>, KPMG U.S. LLP</w:t>
      </w:r>
    </w:p>
    <w:p w14:paraId="00000007" w14:textId="77777777" w:rsidR="006F1EF2" w:rsidRPr="00583B8C" w:rsidRDefault="006F1E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heme="minorHAnsi" w:eastAsia="Times New Roman" w:hAnsiTheme="minorHAnsi" w:cstheme="minorHAnsi"/>
          <w:sz w:val="24"/>
          <w:szCs w:val="24"/>
        </w:rPr>
      </w:pPr>
    </w:p>
    <w:p w14:paraId="00000008" w14:textId="0C820B2C" w:rsidR="006F1EF2" w:rsidRPr="00583B8C" w:rsidRDefault="00D8538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heme="minorHAnsi" w:eastAsia="Times New Roman" w:hAnsiTheme="minorHAnsi" w:cstheme="minorHAnsi"/>
          <w:sz w:val="24"/>
          <w:szCs w:val="24"/>
        </w:rPr>
      </w:pPr>
      <w:r w:rsidRPr="00583B8C">
        <w:rPr>
          <w:rFonts w:asciiTheme="minorHAnsi" w:eastAsia="Times New Roman" w:hAnsiTheme="minorHAnsi" w:cstheme="minorHAnsi"/>
          <w:sz w:val="24"/>
          <w:szCs w:val="24"/>
        </w:rPr>
        <w:t>Date:</w:t>
      </w:r>
      <w:r w:rsidRPr="00583B8C">
        <w:rPr>
          <w:rFonts w:asciiTheme="minorHAnsi" w:eastAsia="Times New Roman" w:hAnsiTheme="minorHAnsi" w:cstheme="minorHAnsi"/>
          <w:sz w:val="24"/>
          <w:szCs w:val="24"/>
        </w:rPr>
        <w:tab/>
        <w:t xml:space="preserve">             </w:t>
      </w:r>
      <w:r w:rsidR="00366953" w:rsidRPr="00583B8C">
        <w:rPr>
          <w:rFonts w:asciiTheme="minorHAnsi" w:eastAsia="Times New Roman" w:hAnsiTheme="minorHAnsi" w:cstheme="minorHAnsi"/>
          <w:sz w:val="24"/>
          <w:szCs w:val="24"/>
        </w:rPr>
        <w:t>September 2, 2024</w:t>
      </w:r>
    </w:p>
    <w:p w14:paraId="00000009" w14:textId="77777777" w:rsidR="006F1EF2" w:rsidRPr="00583B8C" w:rsidRDefault="006F1EF2">
      <w:pPr>
        <w:tabs>
          <w:tab w:val="left" w:pos="720"/>
          <w:tab w:val="left" w:pos="1440"/>
          <w:tab w:val="left" w:pos="2070"/>
          <w:tab w:val="left" w:pos="2160"/>
          <w:tab w:val="left" w:pos="2880"/>
          <w:tab w:val="left" w:pos="3600"/>
          <w:tab w:val="left" w:pos="4320"/>
          <w:tab w:val="left" w:pos="5040"/>
          <w:tab w:val="left" w:pos="5760"/>
          <w:tab w:val="left" w:pos="6120"/>
          <w:tab w:val="left" w:pos="6480"/>
          <w:tab w:val="left" w:pos="6930"/>
          <w:tab w:val="left" w:pos="7200"/>
          <w:tab w:val="left" w:pos="7920"/>
          <w:tab w:val="left" w:pos="8640"/>
        </w:tabs>
        <w:spacing w:after="0" w:line="240" w:lineRule="auto"/>
        <w:rPr>
          <w:rFonts w:asciiTheme="minorHAnsi" w:eastAsia="Times New Roman" w:hAnsiTheme="minorHAnsi" w:cstheme="minorHAnsi"/>
          <w:sz w:val="24"/>
          <w:szCs w:val="24"/>
        </w:rPr>
      </w:pPr>
    </w:p>
    <w:p w14:paraId="0000000A" w14:textId="77777777" w:rsidR="006F1EF2" w:rsidRPr="00583B8C" w:rsidRDefault="00D8538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1440" w:hanging="1440"/>
        <w:rPr>
          <w:rFonts w:asciiTheme="minorHAnsi" w:eastAsia="Times New Roman" w:hAnsiTheme="minorHAnsi" w:cstheme="minorHAnsi"/>
          <w:b/>
          <w:sz w:val="24"/>
          <w:szCs w:val="24"/>
        </w:rPr>
      </w:pPr>
      <w:r w:rsidRPr="00583B8C">
        <w:rPr>
          <w:rFonts w:asciiTheme="minorHAnsi" w:eastAsia="Times New Roman" w:hAnsiTheme="minorHAnsi" w:cstheme="minorHAnsi"/>
          <w:sz w:val="24"/>
          <w:szCs w:val="24"/>
        </w:rPr>
        <w:t>Subject:</w:t>
      </w:r>
      <w:r w:rsidRPr="00583B8C">
        <w:rPr>
          <w:rFonts w:asciiTheme="minorHAnsi" w:eastAsia="Times New Roman" w:hAnsiTheme="minorHAnsi" w:cstheme="minorHAnsi"/>
          <w:sz w:val="24"/>
          <w:szCs w:val="24"/>
        </w:rPr>
        <w:tab/>
        <w:t>Federal and State Tax Implications of Fulfillment Project</w:t>
      </w:r>
      <w:r w:rsidRPr="00583B8C">
        <w:rPr>
          <w:rFonts w:asciiTheme="minorHAnsi" w:eastAsia="Times New Roman" w:hAnsiTheme="minorHAnsi" w:cstheme="minorHAnsi"/>
          <w:b/>
          <w:sz w:val="24"/>
          <w:szCs w:val="24"/>
        </w:rPr>
        <w:t xml:space="preserve"> </w:t>
      </w:r>
    </w:p>
    <w:p w14:paraId="0000000D" w14:textId="77777777" w:rsidR="006F1EF2" w:rsidRPr="00583B8C" w:rsidRDefault="006F1E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heme="minorHAnsi" w:eastAsia="Times New Roman" w:hAnsiTheme="minorHAnsi" w:cstheme="minorHAnsi"/>
          <w:color w:val="000000"/>
          <w:sz w:val="24"/>
          <w:szCs w:val="24"/>
        </w:rPr>
      </w:pPr>
    </w:p>
    <w:p w14:paraId="0000000E" w14:textId="5C56CA03" w:rsidR="006F1EF2" w:rsidRPr="00583B8C" w:rsidRDefault="004B6375">
      <w:pPr>
        <w:spacing w:after="0" w:line="240" w:lineRule="auto"/>
        <w:rPr>
          <w:rFonts w:asciiTheme="minorHAnsi" w:eastAsia="Times New Roman" w:hAnsiTheme="minorHAnsi" w:cstheme="minorHAnsi"/>
          <w:b/>
          <w:sz w:val="24"/>
          <w:szCs w:val="24"/>
          <w:u w:val="single"/>
        </w:rPr>
      </w:pPr>
      <w:r w:rsidRPr="00583B8C">
        <w:rPr>
          <w:rFonts w:asciiTheme="minorHAnsi" w:eastAsia="Times New Roman" w:hAnsiTheme="minorHAnsi" w:cstheme="minorHAnsi"/>
          <w:b/>
          <w:sz w:val="24"/>
          <w:szCs w:val="24"/>
          <w:u w:val="single"/>
        </w:rPr>
        <w:t xml:space="preserve">ISSUES: </w:t>
      </w:r>
    </w:p>
    <w:p w14:paraId="0000000F" w14:textId="77777777" w:rsidR="006F1EF2" w:rsidRPr="00583B8C" w:rsidRDefault="006F1EF2">
      <w:pPr>
        <w:spacing w:after="0" w:line="240" w:lineRule="auto"/>
        <w:rPr>
          <w:rFonts w:asciiTheme="minorHAnsi" w:eastAsia="Times New Roman" w:hAnsiTheme="minorHAnsi" w:cstheme="minorHAnsi"/>
          <w:sz w:val="24"/>
          <w:szCs w:val="24"/>
        </w:rPr>
      </w:pPr>
    </w:p>
    <w:p w14:paraId="2755532F" w14:textId="1412F1DE" w:rsidR="00366953" w:rsidRPr="00583B8C" w:rsidRDefault="00366953" w:rsidP="00366953">
      <w:pPr>
        <w:pStyle w:val="ListParagraph"/>
        <w:numPr>
          <w:ilvl w:val="0"/>
          <w:numId w:val="1"/>
        </w:numPr>
        <w:spacing w:after="0" w:line="240" w:lineRule="auto"/>
        <w:rPr>
          <w:rFonts w:asciiTheme="minorHAnsi" w:eastAsia="Times New Roman" w:hAnsiTheme="minorHAnsi" w:cstheme="minorHAnsi"/>
          <w:sz w:val="24"/>
          <w:szCs w:val="24"/>
        </w:rPr>
      </w:pPr>
      <w:r w:rsidRPr="00583B8C">
        <w:rPr>
          <w:rFonts w:asciiTheme="minorHAnsi" w:eastAsia="Times New Roman" w:hAnsiTheme="minorHAnsi" w:cstheme="minorHAnsi"/>
          <w:b/>
          <w:bCs/>
          <w:sz w:val="24"/>
          <w:szCs w:val="24"/>
          <w:lang w:val="en-IN"/>
        </w:rPr>
        <w:t>MACRS Depreciation:</w:t>
      </w:r>
      <w:r w:rsidRPr="00583B8C">
        <w:rPr>
          <w:rFonts w:asciiTheme="minorHAnsi" w:eastAsia="Times New Roman" w:hAnsiTheme="minorHAnsi" w:cstheme="minorHAnsi"/>
          <w:sz w:val="24"/>
          <w:szCs w:val="24"/>
          <w:lang w:val="en-IN"/>
        </w:rPr>
        <w:t xml:space="preserve"> Calculate the MACRS tax depreciation expense for the building, building shell, and equipment.</w:t>
      </w:r>
    </w:p>
    <w:p w14:paraId="546DF1E9" w14:textId="77777777" w:rsidR="00366953" w:rsidRPr="00583B8C" w:rsidRDefault="00366953" w:rsidP="00366953">
      <w:pPr>
        <w:pStyle w:val="ListParagraph"/>
        <w:numPr>
          <w:ilvl w:val="0"/>
          <w:numId w:val="1"/>
        </w:numPr>
        <w:spacing w:after="0" w:line="240" w:lineRule="auto"/>
        <w:rPr>
          <w:rFonts w:asciiTheme="minorHAnsi" w:eastAsia="Times New Roman" w:hAnsiTheme="minorHAnsi" w:cstheme="minorHAnsi"/>
          <w:sz w:val="24"/>
          <w:szCs w:val="24"/>
        </w:rPr>
      </w:pPr>
      <w:r w:rsidRPr="00583B8C">
        <w:rPr>
          <w:rFonts w:asciiTheme="minorHAnsi" w:eastAsia="Times New Roman" w:hAnsiTheme="minorHAnsi" w:cstheme="minorHAnsi"/>
          <w:b/>
          <w:bCs/>
          <w:sz w:val="24"/>
          <w:szCs w:val="24"/>
          <w:lang w:val="en-IN"/>
        </w:rPr>
        <w:t>Federal Tax Incentives:</w:t>
      </w:r>
      <w:r w:rsidRPr="00583B8C">
        <w:rPr>
          <w:rFonts w:asciiTheme="minorHAnsi" w:eastAsia="Times New Roman" w:hAnsiTheme="minorHAnsi" w:cstheme="minorHAnsi"/>
          <w:sz w:val="24"/>
          <w:szCs w:val="24"/>
          <w:lang w:val="en-IN"/>
        </w:rPr>
        <w:t xml:space="preserve"> Determine if the $2 million state grant qualifies for IRC Section 118 exclusion.</w:t>
      </w:r>
    </w:p>
    <w:p w14:paraId="00000011" w14:textId="0DAD8257" w:rsidR="006F1EF2" w:rsidRPr="00583B8C" w:rsidRDefault="00366953" w:rsidP="00366953">
      <w:pPr>
        <w:pStyle w:val="ListParagraph"/>
        <w:numPr>
          <w:ilvl w:val="0"/>
          <w:numId w:val="1"/>
        </w:numPr>
        <w:spacing w:after="0" w:line="240" w:lineRule="auto"/>
        <w:rPr>
          <w:rFonts w:asciiTheme="minorHAnsi" w:eastAsia="Times New Roman" w:hAnsiTheme="minorHAnsi" w:cstheme="minorHAnsi"/>
          <w:sz w:val="24"/>
          <w:szCs w:val="24"/>
        </w:rPr>
      </w:pPr>
      <w:r w:rsidRPr="00583B8C">
        <w:rPr>
          <w:rFonts w:asciiTheme="minorHAnsi" w:eastAsia="Times New Roman" w:hAnsiTheme="minorHAnsi" w:cstheme="minorHAnsi"/>
          <w:b/>
          <w:bCs/>
          <w:sz w:val="24"/>
          <w:szCs w:val="24"/>
          <w:lang w:val="en-IN"/>
        </w:rPr>
        <w:t>State Tax Implications:</w:t>
      </w:r>
      <w:r w:rsidRPr="00583B8C">
        <w:rPr>
          <w:rFonts w:asciiTheme="minorHAnsi" w:eastAsia="Times New Roman" w:hAnsiTheme="minorHAnsi" w:cstheme="minorHAnsi"/>
          <w:sz w:val="24"/>
          <w:szCs w:val="24"/>
          <w:lang w:val="en-IN"/>
        </w:rPr>
        <w:t xml:space="preserve"> Recommend a state location (Ohio vs. Virginia) based on CAT (Ohio) and corporate net income tax (Virginia).</w:t>
      </w:r>
    </w:p>
    <w:p w14:paraId="00000012" w14:textId="4E6EA090" w:rsidR="006F1EF2" w:rsidRPr="00583B8C" w:rsidRDefault="006F1EF2">
      <w:pPr>
        <w:spacing w:after="0" w:line="240" w:lineRule="auto"/>
        <w:rPr>
          <w:rFonts w:asciiTheme="minorHAnsi" w:eastAsia="Times New Roman" w:hAnsiTheme="minorHAnsi" w:cstheme="minorHAnsi"/>
          <w:sz w:val="24"/>
          <w:szCs w:val="24"/>
        </w:rPr>
      </w:pPr>
    </w:p>
    <w:p w14:paraId="00000015" w14:textId="4363B465" w:rsidR="006F1EF2" w:rsidRPr="00583B8C" w:rsidRDefault="004B6375">
      <w:pPr>
        <w:spacing w:after="0" w:line="240" w:lineRule="auto"/>
        <w:rPr>
          <w:rFonts w:asciiTheme="minorHAnsi" w:eastAsia="Times New Roman" w:hAnsiTheme="minorHAnsi" w:cstheme="minorHAnsi"/>
          <w:b/>
          <w:sz w:val="24"/>
          <w:szCs w:val="24"/>
          <w:u w:val="single"/>
        </w:rPr>
      </w:pPr>
      <w:r w:rsidRPr="00583B8C">
        <w:rPr>
          <w:rFonts w:asciiTheme="minorHAnsi" w:eastAsia="Times New Roman" w:hAnsiTheme="minorHAnsi" w:cstheme="minorHAnsi"/>
          <w:b/>
          <w:sz w:val="24"/>
          <w:szCs w:val="24"/>
          <w:u w:val="single"/>
        </w:rPr>
        <w:t>RESEARCH:</w:t>
      </w:r>
    </w:p>
    <w:p w14:paraId="00000016" w14:textId="77777777" w:rsidR="006F1EF2" w:rsidRPr="00583B8C" w:rsidRDefault="006F1EF2">
      <w:pPr>
        <w:spacing w:after="0" w:line="240" w:lineRule="auto"/>
        <w:rPr>
          <w:rFonts w:asciiTheme="minorHAnsi" w:eastAsia="Times New Roman" w:hAnsiTheme="minorHAnsi" w:cstheme="minorHAnsi"/>
          <w:sz w:val="24"/>
          <w:szCs w:val="24"/>
        </w:rPr>
      </w:pPr>
    </w:p>
    <w:p w14:paraId="2C7E0C96" w14:textId="77777777" w:rsidR="00366953" w:rsidRPr="00583B8C" w:rsidRDefault="00366953" w:rsidP="00366953">
      <w:pPr>
        <w:spacing w:after="0" w:line="240"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Federal Tax Rules:</w:t>
      </w:r>
    </w:p>
    <w:p w14:paraId="7AB5B1C0" w14:textId="77777777" w:rsidR="00366953" w:rsidRPr="00583B8C" w:rsidRDefault="00366953" w:rsidP="00366953">
      <w:pPr>
        <w:numPr>
          <w:ilvl w:val="0"/>
          <w:numId w:val="2"/>
        </w:numPr>
        <w:spacing w:after="0" w:line="240"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MACRS Depreciation:</w:t>
      </w:r>
      <w:r w:rsidRPr="00583B8C">
        <w:rPr>
          <w:rFonts w:asciiTheme="minorHAnsi" w:eastAsia="Times New Roman" w:hAnsiTheme="minorHAnsi" w:cstheme="minorHAnsi"/>
          <w:sz w:val="24"/>
          <w:szCs w:val="24"/>
          <w:lang w:val="en-IN"/>
        </w:rPr>
        <w:t xml:space="preserve"> The Modified Accelerated Cost Recovery System (MACRS) is the tax depreciation system used in the United States. Under MACRS, the building, building improvements, and equipment have specific recovery periods and methods (straight-line or declining balance).</w:t>
      </w:r>
    </w:p>
    <w:p w14:paraId="27711C18" w14:textId="77777777" w:rsidR="00366953" w:rsidRPr="00583B8C" w:rsidRDefault="00366953" w:rsidP="00366953">
      <w:pPr>
        <w:numPr>
          <w:ilvl w:val="0"/>
          <w:numId w:val="2"/>
        </w:numPr>
        <w:spacing w:after="0" w:line="240"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IRC Section 118:</w:t>
      </w:r>
      <w:r w:rsidRPr="00583B8C">
        <w:rPr>
          <w:rFonts w:asciiTheme="minorHAnsi" w:eastAsia="Times New Roman" w:hAnsiTheme="minorHAnsi" w:cstheme="minorHAnsi"/>
          <w:sz w:val="24"/>
          <w:szCs w:val="24"/>
          <w:lang w:val="en-IN"/>
        </w:rPr>
        <w:t xml:space="preserve"> IRC Section 118 allows certain contributions to a corporation's capital, including state and local government grants, to be excluded from gross income.</w:t>
      </w:r>
    </w:p>
    <w:p w14:paraId="394F9C9C" w14:textId="77777777" w:rsidR="00366953" w:rsidRPr="00583B8C" w:rsidRDefault="00366953" w:rsidP="00366953">
      <w:pPr>
        <w:spacing w:after="0" w:line="240"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State Tax Rules:</w:t>
      </w:r>
    </w:p>
    <w:p w14:paraId="3E37E8FC" w14:textId="77777777" w:rsidR="00366953" w:rsidRPr="00583B8C" w:rsidRDefault="00366953" w:rsidP="00366953">
      <w:pPr>
        <w:numPr>
          <w:ilvl w:val="0"/>
          <w:numId w:val="3"/>
        </w:numPr>
        <w:spacing w:after="0" w:line="240"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Ohio Commercial Activities Tax (CAT):</w:t>
      </w:r>
      <w:r w:rsidRPr="00583B8C">
        <w:rPr>
          <w:rFonts w:asciiTheme="minorHAnsi" w:eastAsia="Times New Roman" w:hAnsiTheme="minorHAnsi" w:cstheme="minorHAnsi"/>
          <w:sz w:val="24"/>
          <w:szCs w:val="24"/>
          <w:lang w:val="en-IN"/>
        </w:rPr>
        <w:t xml:space="preserve"> A gross receipts tax imposed on businesses with taxable gross receipts exceeding $150,000. The first $1M in gross receipts is excluded, and receipts over this threshold are taxed at a rate of 0.26%.</w:t>
      </w:r>
    </w:p>
    <w:p w14:paraId="00000017" w14:textId="070C9A11" w:rsidR="006F1EF2" w:rsidRPr="00583B8C" w:rsidRDefault="00366953" w:rsidP="00366953">
      <w:pPr>
        <w:numPr>
          <w:ilvl w:val="0"/>
          <w:numId w:val="3"/>
        </w:numPr>
        <w:spacing w:after="0" w:line="240"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Virginia Corporate Net Income Tax:</w:t>
      </w:r>
      <w:r w:rsidRPr="00583B8C">
        <w:rPr>
          <w:rFonts w:asciiTheme="minorHAnsi" w:eastAsia="Times New Roman" w:hAnsiTheme="minorHAnsi" w:cstheme="minorHAnsi"/>
          <w:sz w:val="24"/>
          <w:szCs w:val="24"/>
          <w:lang w:val="en-IN"/>
        </w:rPr>
        <w:t xml:space="preserve"> Imposed on a corporation's state taxable income at a rate of 6%, based on federal taxable income with state-specific modifications.</w:t>
      </w:r>
    </w:p>
    <w:p w14:paraId="00000018" w14:textId="77777777" w:rsidR="006F1EF2" w:rsidRPr="00583B8C" w:rsidRDefault="006F1EF2">
      <w:pPr>
        <w:spacing w:after="0" w:line="240" w:lineRule="auto"/>
        <w:rPr>
          <w:rFonts w:asciiTheme="minorHAnsi" w:eastAsia="Times New Roman" w:hAnsiTheme="minorHAnsi" w:cstheme="minorHAnsi"/>
          <w:sz w:val="24"/>
          <w:szCs w:val="24"/>
        </w:rPr>
      </w:pPr>
    </w:p>
    <w:p w14:paraId="00000019" w14:textId="77777777" w:rsidR="006F1EF2" w:rsidRPr="00583B8C" w:rsidRDefault="006F1EF2">
      <w:pPr>
        <w:spacing w:after="0" w:line="240" w:lineRule="auto"/>
        <w:rPr>
          <w:rFonts w:asciiTheme="minorHAnsi" w:eastAsia="Times New Roman" w:hAnsiTheme="minorHAnsi" w:cstheme="minorHAnsi"/>
          <w:sz w:val="24"/>
          <w:szCs w:val="24"/>
        </w:rPr>
      </w:pPr>
    </w:p>
    <w:p w14:paraId="0000001A" w14:textId="334E0E4B" w:rsidR="006F1EF2" w:rsidRPr="00583B8C" w:rsidRDefault="004B6375">
      <w:pPr>
        <w:spacing w:after="0" w:line="240" w:lineRule="auto"/>
        <w:rPr>
          <w:rFonts w:asciiTheme="minorHAnsi" w:eastAsia="Times New Roman" w:hAnsiTheme="minorHAnsi" w:cstheme="minorHAnsi"/>
          <w:b/>
          <w:sz w:val="24"/>
          <w:szCs w:val="24"/>
          <w:u w:val="single"/>
        </w:rPr>
      </w:pPr>
      <w:r w:rsidRPr="00583B8C">
        <w:rPr>
          <w:rFonts w:asciiTheme="minorHAnsi" w:eastAsia="Times New Roman" w:hAnsiTheme="minorHAnsi" w:cstheme="minorHAnsi"/>
          <w:b/>
          <w:sz w:val="24"/>
          <w:szCs w:val="24"/>
          <w:u w:val="single"/>
        </w:rPr>
        <w:t>ANALYSIS:</w:t>
      </w:r>
    </w:p>
    <w:p w14:paraId="0000001B" w14:textId="77777777" w:rsidR="006F1EF2" w:rsidRPr="00583B8C" w:rsidRDefault="006F1EF2">
      <w:pPr>
        <w:spacing w:after="0" w:line="240" w:lineRule="auto"/>
        <w:rPr>
          <w:rFonts w:asciiTheme="minorHAnsi" w:eastAsia="Times New Roman" w:hAnsiTheme="minorHAnsi" w:cstheme="minorHAnsi"/>
          <w:sz w:val="24"/>
          <w:szCs w:val="24"/>
        </w:rPr>
      </w:pPr>
    </w:p>
    <w:p w14:paraId="79E9A854" w14:textId="77777777" w:rsidR="00583B8C" w:rsidRPr="004B6375" w:rsidRDefault="00583B8C" w:rsidP="00583B8C">
      <w:pPr>
        <w:spacing w:after="160" w:line="259" w:lineRule="auto"/>
        <w:rPr>
          <w:rFonts w:asciiTheme="minorHAnsi" w:eastAsia="Times New Roman" w:hAnsiTheme="minorHAnsi" w:cstheme="minorHAnsi"/>
          <w:sz w:val="24"/>
          <w:szCs w:val="24"/>
          <w:u w:val="single"/>
          <w:lang w:val="en-IN"/>
        </w:rPr>
      </w:pPr>
      <w:r w:rsidRPr="004B6375">
        <w:rPr>
          <w:rFonts w:asciiTheme="minorHAnsi" w:eastAsia="Times New Roman" w:hAnsiTheme="minorHAnsi" w:cstheme="minorHAnsi"/>
          <w:bCs/>
          <w:sz w:val="24"/>
          <w:szCs w:val="24"/>
          <w:u w:val="single"/>
          <w:lang w:val="en-IN"/>
        </w:rPr>
        <w:t>Federal Issues:</w:t>
      </w:r>
    </w:p>
    <w:p w14:paraId="0EFD21D1" w14:textId="15A7A342" w:rsidR="00583B8C" w:rsidRPr="00583B8C" w:rsidRDefault="00583B8C" w:rsidP="00583B8C">
      <w:pPr>
        <w:pStyle w:val="Heading2"/>
        <w:numPr>
          <w:ilvl w:val="0"/>
          <w:numId w:val="15"/>
        </w:numPr>
        <w:rPr>
          <w:rFonts w:asciiTheme="minorHAnsi" w:eastAsia="Times New Roman" w:hAnsiTheme="minorHAnsi" w:cstheme="minorHAnsi"/>
          <w:b/>
          <w:bCs/>
          <w:color w:val="auto"/>
          <w:sz w:val="24"/>
          <w:szCs w:val="24"/>
          <w:lang w:val="en-IN"/>
        </w:rPr>
      </w:pPr>
      <w:r w:rsidRPr="00583B8C">
        <w:rPr>
          <w:rFonts w:asciiTheme="minorHAnsi" w:eastAsia="Times New Roman" w:hAnsiTheme="minorHAnsi" w:cstheme="minorHAnsi"/>
          <w:b/>
          <w:bCs/>
          <w:color w:val="auto"/>
          <w:sz w:val="24"/>
          <w:szCs w:val="24"/>
          <w:lang w:val="en-IN"/>
        </w:rPr>
        <w:t>MACRS Tax Depreciation Calculation</w:t>
      </w:r>
    </w:p>
    <w:p w14:paraId="2006FB49" w14:textId="5A21E664" w:rsidR="00583B8C" w:rsidRPr="00583B8C" w:rsidRDefault="00583B8C" w:rsidP="00583B8C">
      <w:pPr>
        <w:pStyle w:val="NormalWeb"/>
        <w:numPr>
          <w:ilvl w:val="1"/>
          <w:numId w:val="2"/>
        </w:numPr>
        <w:rPr>
          <w:rFonts w:asciiTheme="minorHAnsi" w:hAnsiTheme="minorHAnsi" w:cstheme="minorHAnsi"/>
        </w:rPr>
      </w:pPr>
      <w:r w:rsidRPr="00583B8C">
        <w:rPr>
          <w:rStyle w:val="Strong"/>
          <w:rFonts w:asciiTheme="minorHAnsi" w:hAnsiTheme="minorHAnsi" w:cstheme="minorHAnsi"/>
        </w:rPr>
        <w:t>Building Shell ($10,000,000):</w:t>
      </w:r>
    </w:p>
    <w:p w14:paraId="65E707F0" w14:textId="04088B7F" w:rsidR="00583B8C" w:rsidRPr="00583B8C" w:rsidRDefault="00583B8C" w:rsidP="00583B8C">
      <w:pPr>
        <w:numPr>
          <w:ilvl w:val="0"/>
          <w:numId w:val="12"/>
        </w:numPr>
        <w:tabs>
          <w:tab w:val="clear" w:pos="720"/>
        </w:tabs>
        <w:spacing w:before="100" w:beforeAutospacing="1" w:after="100" w:afterAutospacing="1" w:line="240" w:lineRule="auto"/>
        <w:ind w:left="142" w:firstLine="709"/>
        <w:rPr>
          <w:rFonts w:asciiTheme="minorHAnsi" w:eastAsia="Times New Roman" w:hAnsiTheme="minorHAnsi" w:cstheme="minorHAnsi"/>
          <w:sz w:val="24"/>
          <w:szCs w:val="24"/>
          <w:lang w:val="en-IN"/>
        </w:rPr>
      </w:pPr>
      <w:r w:rsidRPr="00583B8C">
        <w:rPr>
          <w:rFonts w:asciiTheme="minorHAnsi" w:eastAsia="Times New Roman" w:hAnsiTheme="minorHAnsi" w:cstheme="minorHAnsi"/>
          <w:sz w:val="24"/>
          <w:szCs w:val="24"/>
          <w:lang w:val="en-IN"/>
        </w:rPr>
        <w:lastRenderedPageBreak/>
        <w:t>Depreciated over 39 years using the straight-line method under MACRS.</w:t>
      </w:r>
    </w:p>
    <w:p w14:paraId="09D32F23" w14:textId="20B8A036" w:rsidR="00583B8C" w:rsidRPr="00583B8C" w:rsidRDefault="00583B8C" w:rsidP="004B6375">
      <w:pPr>
        <w:numPr>
          <w:ilvl w:val="0"/>
          <w:numId w:val="12"/>
        </w:numPr>
        <w:tabs>
          <w:tab w:val="clear" w:pos="720"/>
        </w:tabs>
        <w:spacing w:before="100" w:beforeAutospacing="1" w:after="100" w:afterAutospacing="1" w:line="240" w:lineRule="auto"/>
        <w:ind w:left="1418" w:hanging="567"/>
        <w:rPr>
          <w:rFonts w:asciiTheme="minorHAnsi" w:hAnsiTheme="minorHAnsi" w:cstheme="minorHAnsi"/>
          <w:sz w:val="24"/>
          <w:szCs w:val="24"/>
        </w:rPr>
      </w:pPr>
      <w:r w:rsidRPr="00583B8C">
        <w:rPr>
          <w:rFonts w:asciiTheme="minorHAnsi" w:hAnsiTheme="minorHAnsi" w:cstheme="minorHAnsi"/>
          <w:sz w:val="24"/>
          <w:szCs w:val="24"/>
        </w:rPr>
        <w:t>For the first year, with the half-year convention, the depreciation expense would be:</w:t>
      </w:r>
    </w:p>
    <w:p w14:paraId="02285BB1" w14:textId="77777777" w:rsidR="00583B8C" w:rsidRPr="004B6375" w:rsidRDefault="00583B8C" w:rsidP="00583B8C">
      <w:pPr>
        <w:pStyle w:val="HTMLPreformatted"/>
        <w:jc w:val="center"/>
        <w:rPr>
          <w:rFonts w:asciiTheme="minorHAnsi" w:eastAsia="Calibri" w:hAnsiTheme="minorHAnsi" w:cstheme="minorHAnsi"/>
          <w:b/>
          <w:sz w:val="24"/>
          <w:szCs w:val="24"/>
          <w:lang w:val="en-US"/>
        </w:rPr>
      </w:pPr>
      <w:r w:rsidRPr="004B6375">
        <w:rPr>
          <w:rFonts w:asciiTheme="minorHAnsi" w:eastAsia="Calibri" w:hAnsiTheme="minorHAnsi" w:cstheme="minorHAnsi"/>
          <w:b/>
          <w:sz w:val="24"/>
          <w:szCs w:val="24"/>
          <w:lang w:val="en-US"/>
        </w:rPr>
        <w:t>Depreciation (Year 1) = (Cost / Useful Life) * 0.5</w:t>
      </w:r>
    </w:p>
    <w:p w14:paraId="4AB4C9BC" w14:textId="29677CB8" w:rsidR="00583B8C" w:rsidRPr="004B6375" w:rsidRDefault="00583B8C" w:rsidP="00583B8C">
      <w:pPr>
        <w:pStyle w:val="HTMLPreformatted"/>
        <w:jc w:val="center"/>
        <w:rPr>
          <w:rFonts w:asciiTheme="minorHAnsi" w:eastAsia="Calibri" w:hAnsiTheme="minorHAnsi" w:cstheme="minorHAnsi"/>
          <w:b/>
          <w:sz w:val="24"/>
          <w:szCs w:val="24"/>
          <w:lang w:val="en-US"/>
        </w:rPr>
      </w:pPr>
      <w:r w:rsidRPr="004B6375">
        <w:rPr>
          <w:rFonts w:asciiTheme="minorHAnsi" w:eastAsia="Calibri" w:hAnsiTheme="minorHAnsi" w:cstheme="minorHAnsi"/>
          <w:b/>
          <w:sz w:val="24"/>
          <w:szCs w:val="24"/>
          <w:lang w:val="en-US"/>
        </w:rPr>
        <w:t>Depreciation (Year 1) = (10,000,000 / 39) * 0.5 = $128,205.13</w:t>
      </w:r>
    </w:p>
    <w:p w14:paraId="14ABFE40" w14:textId="33E5D519" w:rsidR="00583B8C" w:rsidRPr="00583B8C" w:rsidRDefault="00583B8C" w:rsidP="00583B8C">
      <w:pPr>
        <w:pStyle w:val="NormalWeb"/>
        <w:numPr>
          <w:ilvl w:val="1"/>
          <w:numId w:val="2"/>
        </w:numPr>
        <w:rPr>
          <w:rFonts w:asciiTheme="minorHAnsi" w:hAnsiTheme="minorHAnsi" w:cstheme="minorHAnsi"/>
        </w:rPr>
      </w:pPr>
      <w:r w:rsidRPr="00583B8C">
        <w:rPr>
          <w:rStyle w:val="Strong"/>
          <w:rFonts w:asciiTheme="minorHAnsi" w:hAnsiTheme="minorHAnsi" w:cstheme="minorHAnsi"/>
        </w:rPr>
        <w:t>Building Improvements ($5,000,000):</w:t>
      </w:r>
    </w:p>
    <w:p w14:paraId="2545A5A2" w14:textId="77777777" w:rsidR="00583B8C" w:rsidRPr="00583B8C" w:rsidRDefault="00583B8C" w:rsidP="004B6375">
      <w:pPr>
        <w:numPr>
          <w:ilvl w:val="0"/>
          <w:numId w:val="13"/>
        </w:numPr>
        <w:tabs>
          <w:tab w:val="num" w:pos="720"/>
        </w:tabs>
        <w:spacing w:before="100" w:beforeAutospacing="1" w:after="100" w:afterAutospacing="1" w:line="240" w:lineRule="auto"/>
        <w:ind w:hanging="502"/>
        <w:rPr>
          <w:rFonts w:asciiTheme="minorHAnsi" w:hAnsiTheme="minorHAnsi" w:cstheme="minorHAnsi"/>
          <w:sz w:val="24"/>
          <w:szCs w:val="24"/>
        </w:rPr>
      </w:pPr>
      <w:r w:rsidRPr="00583B8C">
        <w:rPr>
          <w:rFonts w:asciiTheme="minorHAnsi" w:hAnsiTheme="minorHAnsi" w:cstheme="minorHAnsi"/>
          <w:sz w:val="24"/>
          <w:szCs w:val="24"/>
        </w:rPr>
        <w:t>Also depreciated over 39 years using the straight-line method with a half-year convention:</w:t>
      </w:r>
    </w:p>
    <w:p w14:paraId="7BEFFD28" w14:textId="77777777" w:rsidR="00583B8C" w:rsidRPr="004B6375" w:rsidRDefault="00583B8C" w:rsidP="004B6375">
      <w:pPr>
        <w:pStyle w:val="HTMLPreformatted"/>
        <w:ind w:left="993" w:hanging="644"/>
        <w:jc w:val="center"/>
        <w:rPr>
          <w:rStyle w:val="HTMLCode"/>
          <w:rFonts w:asciiTheme="minorHAnsi" w:hAnsiTheme="minorHAnsi" w:cstheme="minorHAnsi"/>
          <w:b/>
          <w:sz w:val="24"/>
          <w:szCs w:val="24"/>
        </w:rPr>
      </w:pPr>
      <w:r w:rsidRPr="004B6375">
        <w:rPr>
          <w:rStyle w:val="HTMLCode"/>
          <w:rFonts w:asciiTheme="minorHAnsi" w:hAnsiTheme="minorHAnsi" w:cstheme="minorHAnsi"/>
          <w:b/>
          <w:sz w:val="24"/>
          <w:szCs w:val="24"/>
        </w:rPr>
        <w:t>Depreciation (Year 1) = (Cost / Useful Life) * 0.5</w:t>
      </w:r>
    </w:p>
    <w:p w14:paraId="40CFE868" w14:textId="77777777" w:rsidR="00583B8C" w:rsidRPr="004B6375" w:rsidRDefault="00583B8C" w:rsidP="004B6375">
      <w:pPr>
        <w:pStyle w:val="HTMLPreformatted"/>
        <w:ind w:left="993" w:hanging="644"/>
        <w:jc w:val="center"/>
        <w:rPr>
          <w:rStyle w:val="HTMLCode"/>
          <w:rFonts w:asciiTheme="minorHAnsi" w:hAnsiTheme="minorHAnsi" w:cstheme="minorHAnsi"/>
          <w:b/>
          <w:sz w:val="24"/>
          <w:szCs w:val="24"/>
        </w:rPr>
      </w:pPr>
      <w:r w:rsidRPr="004B6375">
        <w:rPr>
          <w:rStyle w:val="HTMLCode"/>
          <w:rFonts w:asciiTheme="minorHAnsi" w:hAnsiTheme="minorHAnsi" w:cstheme="minorHAnsi"/>
          <w:b/>
          <w:sz w:val="24"/>
          <w:szCs w:val="24"/>
        </w:rPr>
        <w:t>Depreciation (Year 1) = (5,000,000 / 39) * 0.5 = $64,102.56</w:t>
      </w:r>
    </w:p>
    <w:p w14:paraId="0313C7CF" w14:textId="4ED971D4" w:rsidR="00583B8C" w:rsidRPr="00583B8C" w:rsidRDefault="00583B8C" w:rsidP="00583B8C">
      <w:pPr>
        <w:pStyle w:val="NormalWeb"/>
        <w:numPr>
          <w:ilvl w:val="1"/>
          <w:numId w:val="2"/>
        </w:numPr>
        <w:rPr>
          <w:rFonts w:asciiTheme="minorHAnsi" w:hAnsiTheme="minorHAnsi" w:cstheme="minorHAnsi"/>
        </w:rPr>
      </w:pPr>
      <w:r w:rsidRPr="00583B8C">
        <w:rPr>
          <w:rStyle w:val="Strong"/>
          <w:rFonts w:asciiTheme="minorHAnsi" w:hAnsiTheme="minorHAnsi" w:cstheme="minorHAnsi"/>
        </w:rPr>
        <w:t>Movable Equipment ($20,000,000):</w:t>
      </w:r>
    </w:p>
    <w:p w14:paraId="28E50480" w14:textId="77777777" w:rsidR="00583B8C" w:rsidRPr="00583B8C" w:rsidRDefault="00583B8C" w:rsidP="004B6375">
      <w:pPr>
        <w:numPr>
          <w:ilvl w:val="0"/>
          <w:numId w:val="14"/>
        </w:numPr>
        <w:spacing w:before="100" w:beforeAutospacing="1" w:after="100" w:afterAutospacing="1" w:line="240" w:lineRule="auto"/>
        <w:rPr>
          <w:rFonts w:asciiTheme="minorHAnsi" w:hAnsiTheme="minorHAnsi" w:cstheme="minorHAnsi"/>
          <w:sz w:val="24"/>
          <w:szCs w:val="24"/>
        </w:rPr>
      </w:pPr>
      <w:r w:rsidRPr="00583B8C">
        <w:rPr>
          <w:rFonts w:asciiTheme="minorHAnsi" w:hAnsiTheme="minorHAnsi" w:cstheme="minorHAnsi"/>
          <w:sz w:val="24"/>
          <w:szCs w:val="24"/>
        </w:rPr>
        <w:t>Depreciated over 7 years using the double-declining balance method with the half-year convention:</w:t>
      </w:r>
    </w:p>
    <w:p w14:paraId="74EA7419" w14:textId="77777777" w:rsidR="00583B8C" w:rsidRPr="004B6375" w:rsidRDefault="00583B8C" w:rsidP="004B6375">
      <w:pPr>
        <w:pStyle w:val="HTMLPreformatted"/>
        <w:ind w:left="1429"/>
        <w:jc w:val="center"/>
        <w:rPr>
          <w:rStyle w:val="HTMLCode"/>
          <w:rFonts w:asciiTheme="minorHAnsi" w:hAnsiTheme="minorHAnsi" w:cstheme="minorHAnsi"/>
          <w:b/>
          <w:sz w:val="24"/>
          <w:szCs w:val="24"/>
        </w:rPr>
      </w:pPr>
      <w:r w:rsidRPr="004B6375">
        <w:rPr>
          <w:rStyle w:val="HTMLCode"/>
          <w:rFonts w:asciiTheme="minorHAnsi" w:hAnsiTheme="minorHAnsi" w:cstheme="minorHAnsi"/>
          <w:b/>
          <w:sz w:val="24"/>
          <w:szCs w:val="24"/>
        </w:rPr>
        <w:t>Depreciation (Year 1) = (Cost * 2 / Useful Life) * 0.5</w:t>
      </w:r>
    </w:p>
    <w:p w14:paraId="6174CC81" w14:textId="77777777" w:rsidR="00583B8C" w:rsidRPr="004B6375" w:rsidRDefault="00583B8C" w:rsidP="004B6375">
      <w:pPr>
        <w:pStyle w:val="HTMLPreformatted"/>
        <w:ind w:left="1429"/>
        <w:jc w:val="center"/>
        <w:rPr>
          <w:rStyle w:val="HTMLCode"/>
          <w:rFonts w:asciiTheme="minorHAnsi" w:hAnsiTheme="minorHAnsi" w:cstheme="minorHAnsi"/>
          <w:b/>
          <w:sz w:val="24"/>
          <w:szCs w:val="24"/>
        </w:rPr>
      </w:pPr>
      <w:r w:rsidRPr="004B6375">
        <w:rPr>
          <w:rStyle w:val="HTMLCode"/>
          <w:rFonts w:asciiTheme="minorHAnsi" w:hAnsiTheme="minorHAnsi" w:cstheme="minorHAnsi"/>
          <w:b/>
          <w:sz w:val="24"/>
          <w:szCs w:val="24"/>
        </w:rPr>
        <w:t>Depreciation (Year 1) = (20,000,000 * 2 / 7) * 0.5 = $2,857,142.86</w:t>
      </w:r>
    </w:p>
    <w:p w14:paraId="58D66095" w14:textId="04D2E78C" w:rsidR="00583B8C" w:rsidRPr="00583B8C" w:rsidRDefault="00583B8C" w:rsidP="004B6375">
      <w:pPr>
        <w:pStyle w:val="NormalWeb"/>
        <w:numPr>
          <w:ilvl w:val="1"/>
          <w:numId w:val="2"/>
        </w:numPr>
        <w:rPr>
          <w:rFonts w:asciiTheme="minorHAnsi" w:hAnsiTheme="minorHAnsi" w:cstheme="minorHAnsi"/>
        </w:rPr>
      </w:pPr>
      <w:r w:rsidRPr="00583B8C">
        <w:rPr>
          <w:rStyle w:val="Strong"/>
          <w:rFonts w:asciiTheme="minorHAnsi" w:hAnsiTheme="minorHAnsi" w:cstheme="minorHAnsi"/>
        </w:rPr>
        <w:t>Total First-Year Depreciation:</w:t>
      </w:r>
    </w:p>
    <w:p w14:paraId="3344074D" w14:textId="35516F0F" w:rsidR="00583B8C" w:rsidRPr="004B6375" w:rsidRDefault="00583B8C" w:rsidP="004B6375">
      <w:pPr>
        <w:pStyle w:val="HTMLPreformatted"/>
        <w:ind w:firstLine="567"/>
        <w:rPr>
          <w:rStyle w:val="HTMLCode"/>
          <w:rFonts w:asciiTheme="minorHAnsi" w:hAnsiTheme="minorHAnsi" w:cstheme="minorHAnsi"/>
          <w:b/>
          <w:sz w:val="24"/>
          <w:szCs w:val="24"/>
        </w:rPr>
      </w:pPr>
      <w:r w:rsidRPr="004B6375">
        <w:rPr>
          <w:rStyle w:val="HTMLCode"/>
          <w:rFonts w:asciiTheme="minorHAnsi" w:hAnsiTheme="minorHAnsi" w:cstheme="minorHAnsi"/>
          <w:b/>
          <w:sz w:val="24"/>
          <w:szCs w:val="24"/>
        </w:rPr>
        <w:t>Total Depreciation (Year 1) = $128,205.13 + $64,102.56 + $2,857,142.86 = $3,049,450.55</w:t>
      </w:r>
    </w:p>
    <w:p w14:paraId="111E6A5C" w14:textId="77777777" w:rsidR="004B6375" w:rsidRDefault="004B6375" w:rsidP="00583B8C">
      <w:pPr>
        <w:spacing w:after="160" w:line="259" w:lineRule="auto"/>
        <w:rPr>
          <w:rStyle w:val="HTMLCode"/>
          <w:rFonts w:asciiTheme="minorHAnsi" w:eastAsia="Calibri" w:hAnsiTheme="minorHAnsi" w:cstheme="minorHAnsi"/>
          <w:sz w:val="24"/>
          <w:szCs w:val="24"/>
          <w:lang w:val="en-IN"/>
        </w:rPr>
      </w:pPr>
    </w:p>
    <w:p w14:paraId="447AE1B8" w14:textId="129B3F5C" w:rsidR="00583B8C" w:rsidRPr="004B6375" w:rsidRDefault="00583B8C" w:rsidP="004B6375">
      <w:pPr>
        <w:pStyle w:val="ListParagraph"/>
        <w:numPr>
          <w:ilvl w:val="0"/>
          <w:numId w:val="15"/>
        </w:numPr>
        <w:spacing w:after="160" w:line="259" w:lineRule="auto"/>
        <w:rPr>
          <w:rFonts w:asciiTheme="minorHAnsi" w:eastAsia="Times New Roman" w:hAnsiTheme="minorHAnsi" w:cstheme="minorHAnsi"/>
          <w:sz w:val="24"/>
          <w:szCs w:val="24"/>
          <w:lang w:val="en-IN"/>
        </w:rPr>
      </w:pPr>
      <w:r w:rsidRPr="004B6375">
        <w:rPr>
          <w:rFonts w:asciiTheme="minorHAnsi" w:eastAsia="Times New Roman" w:hAnsiTheme="minorHAnsi" w:cstheme="minorHAnsi"/>
          <w:b/>
          <w:bCs/>
          <w:sz w:val="24"/>
          <w:szCs w:val="24"/>
          <w:lang w:val="en-IN"/>
        </w:rPr>
        <w:t>IRC Section 118 Analysis:</w:t>
      </w:r>
    </w:p>
    <w:p w14:paraId="393223EA" w14:textId="36870DA0" w:rsidR="00583B8C" w:rsidRDefault="00583B8C" w:rsidP="004B6375">
      <w:pPr>
        <w:spacing w:after="160" w:line="259" w:lineRule="auto"/>
        <w:ind w:left="360"/>
        <w:rPr>
          <w:rFonts w:asciiTheme="minorHAnsi" w:eastAsia="Times New Roman" w:hAnsiTheme="minorHAnsi" w:cstheme="minorHAnsi"/>
          <w:sz w:val="24"/>
          <w:szCs w:val="24"/>
          <w:lang w:val="en-IN"/>
        </w:rPr>
      </w:pPr>
      <w:r w:rsidRPr="00583B8C">
        <w:rPr>
          <w:rFonts w:asciiTheme="minorHAnsi" w:eastAsia="Times New Roman" w:hAnsiTheme="minorHAnsi" w:cstheme="minorHAnsi"/>
          <w:sz w:val="24"/>
          <w:szCs w:val="24"/>
          <w:lang w:val="en-IN"/>
        </w:rPr>
        <w:t>The $2M state grant is intended to build new infrastructure (e.g., a road) and could qualify for exclusion under IRC Section 118 as a capital contribution. To qualify, the grant must be used for specific capital expenditures and should not be considered compensation for services rendered or products provided by the corporation. Based on these facts, the grant appears to meet the criteria for exclusion under IRC Section 118.</w:t>
      </w:r>
    </w:p>
    <w:p w14:paraId="76229248" w14:textId="77777777" w:rsidR="004B6375" w:rsidRPr="00583B8C" w:rsidRDefault="004B6375" w:rsidP="004B6375">
      <w:pPr>
        <w:spacing w:after="160" w:line="259" w:lineRule="auto"/>
        <w:ind w:left="360"/>
        <w:rPr>
          <w:rFonts w:asciiTheme="minorHAnsi" w:eastAsia="Times New Roman" w:hAnsiTheme="minorHAnsi" w:cstheme="minorHAnsi"/>
          <w:sz w:val="24"/>
          <w:szCs w:val="24"/>
          <w:lang w:val="en-IN"/>
        </w:rPr>
      </w:pPr>
    </w:p>
    <w:p w14:paraId="53989A34" w14:textId="77777777" w:rsidR="00583B8C" w:rsidRPr="004B6375" w:rsidRDefault="00583B8C" w:rsidP="00583B8C">
      <w:pPr>
        <w:spacing w:after="160" w:line="259" w:lineRule="auto"/>
        <w:rPr>
          <w:rFonts w:asciiTheme="minorHAnsi" w:eastAsia="Times New Roman" w:hAnsiTheme="minorHAnsi" w:cstheme="minorHAnsi"/>
          <w:sz w:val="24"/>
          <w:szCs w:val="24"/>
          <w:u w:val="single"/>
          <w:lang w:val="en-IN"/>
        </w:rPr>
      </w:pPr>
      <w:r w:rsidRPr="004B6375">
        <w:rPr>
          <w:rFonts w:asciiTheme="minorHAnsi" w:eastAsia="Times New Roman" w:hAnsiTheme="minorHAnsi" w:cstheme="minorHAnsi"/>
          <w:bCs/>
          <w:sz w:val="24"/>
          <w:szCs w:val="24"/>
          <w:u w:val="single"/>
          <w:lang w:val="en-IN"/>
        </w:rPr>
        <w:t>State Issues:</w:t>
      </w:r>
    </w:p>
    <w:p w14:paraId="2060A0B3" w14:textId="77777777" w:rsidR="00583B8C" w:rsidRPr="00583B8C" w:rsidRDefault="00583B8C" w:rsidP="00583B8C">
      <w:pPr>
        <w:spacing w:after="160" w:line="259"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1. Ohio vs. Virginia Taxation:</w:t>
      </w:r>
    </w:p>
    <w:p w14:paraId="3601A468" w14:textId="77777777" w:rsidR="00583B8C" w:rsidRPr="00583B8C" w:rsidRDefault="00583B8C" w:rsidP="00583B8C">
      <w:pPr>
        <w:numPr>
          <w:ilvl w:val="0"/>
          <w:numId w:val="10"/>
        </w:numPr>
        <w:spacing w:after="160" w:line="259"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Ohio CAT Calculation:</w:t>
      </w:r>
    </w:p>
    <w:p w14:paraId="780CF827" w14:textId="77777777" w:rsidR="00583B8C" w:rsidRPr="00583B8C" w:rsidRDefault="00583B8C" w:rsidP="00583B8C">
      <w:pPr>
        <w:numPr>
          <w:ilvl w:val="1"/>
          <w:numId w:val="10"/>
        </w:numPr>
        <w:spacing w:after="160" w:line="259"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Gross Receipts:</w:t>
      </w:r>
      <w:r w:rsidRPr="00583B8C">
        <w:rPr>
          <w:rFonts w:asciiTheme="minorHAnsi" w:eastAsia="Times New Roman" w:hAnsiTheme="minorHAnsi" w:cstheme="minorHAnsi"/>
          <w:sz w:val="24"/>
          <w:szCs w:val="24"/>
          <w:lang w:val="en-IN"/>
        </w:rPr>
        <w:t xml:space="preserve"> $25,000,000</w:t>
      </w:r>
    </w:p>
    <w:p w14:paraId="2498F039" w14:textId="77777777" w:rsidR="00583B8C" w:rsidRPr="00583B8C" w:rsidRDefault="00583B8C" w:rsidP="00583B8C">
      <w:pPr>
        <w:numPr>
          <w:ilvl w:val="1"/>
          <w:numId w:val="10"/>
        </w:numPr>
        <w:spacing w:after="160" w:line="259"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Exclusion:</w:t>
      </w:r>
      <w:r w:rsidRPr="00583B8C">
        <w:rPr>
          <w:rFonts w:asciiTheme="minorHAnsi" w:eastAsia="Times New Roman" w:hAnsiTheme="minorHAnsi" w:cstheme="minorHAnsi"/>
          <w:sz w:val="24"/>
          <w:szCs w:val="24"/>
          <w:lang w:val="en-IN"/>
        </w:rPr>
        <w:t xml:space="preserve"> $1,000,000</w:t>
      </w:r>
    </w:p>
    <w:p w14:paraId="1A447E85" w14:textId="77777777" w:rsidR="00583B8C" w:rsidRPr="00583B8C" w:rsidRDefault="00583B8C" w:rsidP="00583B8C">
      <w:pPr>
        <w:numPr>
          <w:ilvl w:val="1"/>
          <w:numId w:val="10"/>
        </w:numPr>
        <w:spacing w:after="160" w:line="259"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lastRenderedPageBreak/>
        <w:t>Taxable Gross Receipts:</w:t>
      </w:r>
      <w:r w:rsidRPr="00583B8C">
        <w:rPr>
          <w:rFonts w:asciiTheme="minorHAnsi" w:eastAsia="Times New Roman" w:hAnsiTheme="minorHAnsi" w:cstheme="minorHAnsi"/>
          <w:sz w:val="24"/>
          <w:szCs w:val="24"/>
          <w:lang w:val="en-IN"/>
        </w:rPr>
        <w:t xml:space="preserve"> $24,000,000</w:t>
      </w:r>
    </w:p>
    <w:p w14:paraId="50B6768D" w14:textId="77777777" w:rsidR="00583B8C" w:rsidRPr="00583B8C" w:rsidRDefault="00583B8C" w:rsidP="00583B8C">
      <w:pPr>
        <w:numPr>
          <w:ilvl w:val="1"/>
          <w:numId w:val="10"/>
        </w:numPr>
        <w:spacing w:after="160" w:line="259"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CAT Rate:</w:t>
      </w:r>
      <w:r w:rsidRPr="00583B8C">
        <w:rPr>
          <w:rFonts w:asciiTheme="minorHAnsi" w:eastAsia="Times New Roman" w:hAnsiTheme="minorHAnsi" w:cstheme="minorHAnsi"/>
          <w:sz w:val="24"/>
          <w:szCs w:val="24"/>
          <w:lang w:val="en-IN"/>
        </w:rPr>
        <w:t xml:space="preserve"> 0.26%</w:t>
      </w:r>
    </w:p>
    <w:p w14:paraId="2E83A625" w14:textId="3FFA5A1C" w:rsidR="004B6375" w:rsidRPr="004B6375" w:rsidRDefault="00583B8C" w:rsidP="004B6375">
      <w:pPr>
        <w:numPr>
          <w:ilvl w:val="1"/>
          <w:numId w:val="10"/>
        </w:numPr>
        <w:spacing w:after="160" w:line="259"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CAT Due:</w:t>
      </w:r>
    </w:p>
    <w:p w14:paraId="6C5B1644" w14:textId="175CFA3F" w:rsidR="004B6375" w:rsidRPr="00C872B8" w:rsidRDefault="004B6375" w:rsidP="004B6375">
      <w:pPr>
        <w:spacing w:after="160" w:line="259" w:lineRule="auto"/>
        <w:ind w:left="1440"/>
        <w:rPr>
          <w:rFonts w:asciiTheme="minorHAnsi" w:eastAsia="Times New Roman" w:hAnsiTheme="minorHAnsi" w:cstheme="minorHAnsi"/>
          <w:sz w:val="24"/>
          <w:szCs w:val="24"/>
          <w:lang w:val="en-IN"/>
        </w:rPr>
      </w:pPr>
      <w:r w:rsidRPr="00C872B8">
        <w:rPr>
          <w:rFonts w:asciiTheme="minorHAnsi" w:eastAsia="Times New Roman" w:hAnsiTheme="minorHAnsi" w:cstheme="minorHAnsi"/>
          <w:sz w:val="24"/>
          <w:szCs w:val="24"/>
          <w:lang w:val="en-IN"/>
        </w:rPr>
        <w:t>- Exclusion:</w:t>
      </w:r>
    </w:p>
    <w:p w14:paraId="7D7217C0" w14:textId="77777777" w:rsidR="004B6375" w:rsidRPr="004B6375" w:rsidRDefault="004B6375" w:rsidP="004B6375">
      <w:pPr>
        <w:spacing w:after="160" w:line="259" w:lineRule="auto"/>
        <w:ind w:left="1440"/>
        <w:rPr>
          <w:rFonts w:asciiTheme="minorHAnsi" w:eastAsia="Times New Roman" w:hAnsiTheme="minorHAnsi" w:cstheme="minorHAnsi"/>
          <w:sz w:val="24"/>
          <w:szCs w:val="24"/>
          <w:lang w:val="en-IN"/>
        </w:rPr>
      </w:pPr>
      <w:r w:rsidRPr="004B6375">
        <w:rPr>
          <w:rFonts w:asciiTheme="minorHAnsi" w:eastAsia="Times New Roman" w:hAnsiTheme="minorHAnsi" w:cstheme="minorHAnsi"/>
          <w:sz w:val="24"/>
          <w:szCs w:val="24"/>
          <w:lang w:val="en-IN"/>
        </w:rPr>
        <w:t>Net Taxable Gross Receipts = Gross Receipts - Exclusion</w:t>
      </w:r>
    </w:p>
    <w:p w14:paraId="1D061411" w14:textId="77777777" w:rsidR="004B6375" w:rsidRPr="004B6375" w:rsidRDefault="004B6375" w:rsidP="004B6375">
      <w:pPr>
        <w:spacing w:after="160" w:line="259" w:lineRule="auto"/>
        <w:ind w:left="1440"/>
        <w:rPr>
          <w:rFonts w:asciiTheme="minorHAnsi" w:eastAsia="Times New Roman" w:hAnsiTheme="minorHAnsi" w:cstheme="minorHAnsi"/>
          <w:b/>
          <w:sz w:val="24"/>
          <w:szCs w:val="24"/>
          <w:lang w:val="en-IN"/>
        </w:rPr>
      </w:pPr>
      <w:r w:rsidRPr="004B6375">
        <w:rPr>
          <w:rFonts w:asciiTheme="minorHAnsi" w:eastAsia="Times New Roman" w:hAnsiTheme="minorHAnsi" w:cstheme="minorHAnsi"/>
          <w:b/>
          <w:sz w:val="24"/>
          <w:szCs w:val="24"/>
          <w:lang w:val="en-IN"/>
        </w:rPr>
        <w:t>Net Taxable Gross Receipts = 25,000,000 - 1,000,000 = 24,000,000</w:t>
      </w:r>
    </w:p>
    <w:p w14:paraId="68B84B20" w14:textId="35243C77" w:rsidR="004B6375" w:rsidRPr="00C872B8" w:rsidRDefault="004B6375" w:rsidP="004B6375">
      <w:pPr>
        <w:spacing w:after="160" w:line="259" w:lineRule="auto"/>
        <w:ind w:left="928" w:firstLine="512"/>
        <w:rPr>
          <w:rFonts w:asciiTheme="minorHAnsi" w:eastAsia="Times New Roman" w:hAnsiTheme="minorHAnsi" w:cstheme="minorHAnsi"/>
          <w:sz w:val="24"/>
          <w:szCs w:val="24"/>
          <w:lang w:val="en-IN"/>
        </w:rPr>
      </w:pPr>
      <w:r w:rsidRPr="00C872B8">
        <w:rPr>
          <w:rFonts w:asciiTheme="minorHAnsi" w:eastAsia="Times New Roman" w:hAnsiTheme="minorHAnsi" w:cstheme="minorHAnsi"/>
          <w:sz w:val="24"/>
          <w:szCs w:val="24"/>
          <w:lang w:val="en-IN"/>
        </w:rPr>
        <w:t xml:space="preserve">- </w:t>
      </w:r>
      <w:r w:rsidRPr="00C872B8">
        <w:rPr>
          <w:rFonts w:asciiTheme="minorHAnsi" w:eastAsia="Times New Roman" w:hAnsiTheme="minorHAnsi" w:cstheme="minorHAnsi"/>
          <w:sz w:val="24"/>
          <w:szCs w:val="24"/>
          <w:lang w:val="en-IN"/>
        </w:rPr>
        <w:t>Tax Liability:</w:t>
      </w:r>
    </w:p>
    <w:p w14:paraId="01270762" w14:textId="77777777" w:rsidR="004B6375" w:rsidRPr="004B6375" w:rsidRDefault="004B6375" w:rsidP="004B6375">
      <w:pPr>
        <w:spacing w:after="160" w:line="259" w:lineRule="auto"/>
        <w:ind w:left="1440"/>
        <w:rPr>
          <w:rFonts w:asciiTheme="minorHAnsi" w:eastAsia="Times New Roman" w:hAnsiTheme="minorHAnsi" w:cstheme="minorHAnsi"/>
          <w:sz w:val="24"/>
          <w:szCs w:val="24"/>
          <w:lang w:val="en-IN"/>
        </w:rPr>
      </w:pPr>
      <w:r w:rsidRPr="004B6375">
        <w:rPr>
          <w:rFonts w:asciiTheme="minorHAnsi" w:eastAsia="Times New Roman" w:hAnsiTheme="minorHAnsi" w:cstheme="minorHAnsi"/>
          <w:sz w:val="24"/>
          <w:szCs w:val="24"/>
          <w:lang w:val="en-IN"/>
        </w:rPr>
        <w:t>CAT Tax Liability = Net Taxable Gross Receipts * CAT Rate</w:t>
      </w:r>
    </w:p>
    <w:p w14:paraId="60A25CE8" w14:textId="06FE9666" w:rsidR="004B6375" w:rsidRPr="004B6375" w:rsidRDefault="004B6375" w:rsidP="00C872B8">
      <w:pPr>
        <w:spacing w:after="160" w:line="259" w:lineRule="auto"/>
        <w:ind w:left="1440"/>
        <w:rPr>
          <w:rFonts w:asciiTheme="minorHAnsi" w:eastAsia="Times New Roman" w:hAnsiTheme="minorHAnsi" w:cstheme="minorHAnsi"/>
          <w:b/>
          <w:sz w:val="24"/>
          <w:szCs w:val="24"/>
          <w:lang w:val="en-IN"/>
        </w:rPr>
      </w:pPr>
      <w:r w:rsidRPr="004B6375">
        <w:rPr>
          <w:rFonts w:asciiTheme="minorHAnsi" w:eastAsia="Times New Roman" w:hAnsiTheme="minorHAnsi" w:cstheme="minorHAnsi"/>
          <w:b/>
          <w:sz w:val="24"/>
          <w:szCs w:val="24"/>
          <w:lang w:val="en-IN"/>
        </w:rPr>
        <w:t>CAT Tax Liability = 24,000,000 * 0.0026 = $62,400</w:t>
      </w:r>
    </w:p>
    <w:p w14:paraId="04A8CF4D" w14:textId="77FF8A5B" w:rsidR="004B6375" w:rsidRPr="004B6375" w:rsidRDefault="004B6375" w:rsidP="004B6375">
      <w:pPr>
        <w:spacing w:after="160" w:line="259" w:lineRule="auto"/>
        <w:ind w:left="1440"/>
        <w:rPr>
          <w:rFonts w:asciiTheme="minorHAnsi" w:eastAsia="Times New Roman" w:hAnsiTheme="minorHAnsi" w:cstheme="minorHAnsi"/>
          <w:b/>
          <w:sz w:val="24"/>
          <w:szCs w:val="24"/>
          <w:lang w:val="en-IN"/>
        </w:rPr>
      </w:pPr>
      <w:r w:rsidRPr="004B6375">
        <w:rPr>
          <w:rFonts w:asciiTheme="minorHAnsi" w:eastAsia="Times New Roman" w:hAnsiTheme="minorHAnsi" w:cstheme="minorHAnsi"/>
          <w:b/>
          <w:sz w:val="24"/>
          <w:szCs w:val="24"/>
          <w:lang w:val="en-IN"/>
        </w:rPr>
        <w:t>Therefore, the Ohio Commercial Activities Tax (CAT) liability for a company with $25,000,000 in gross receipts is $62,400.</w:t>
      </w:r>
    </w:p>
    <w:p w14:paraId="04DE9284" w14:textId="77777777" w:rsidR="00583B8C" w:rsidRPr="00583B8C" w:rsidRDefault="00583B8C" w:rsidP="00583B8C">
      <w:pPr>
        <w:numPr>
          <w:ilvl w:val="0"/>
          <w:numId w:val="10"/>
        </w:numPr>
        <w:spacing w:after="160" w:line="259"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Virginia Corporate Net Income Tax Calculation:</w:t>
      </w:r>
    </w:p>
    <w:p w14:paraId="69A78B1F" w14:textId="77777777" w:rsidR="00583B8C" w:rsidRPr="00583B8C" w:rsidRDefault="00583B8C" w:rsidP="00583B8C">
      <w:pPr>
        <w:numPr>
          <w:ilvl w:val="1"/>
          <w:numId w:val="10"/>
        </w:numPr>
        <w:spacing w:after="160" w:line="259"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Net Taxable Income:</w:t>
      </w:r>
      <w:r w:rsidRPr="00583B8C">
        <w:rPr>
          <w:rFonts w:asciiTheme="minorHAnsi" w:eastAsia="Times New Roman" w:hAnsiTheme="minorHAnsi" w:cstheme="minorHAnsi"/>
          <w:sz w:val="24"/>
          <w:szCs w:val="24"/>
          <w:lang w:val="en-IN"/>
        </w:rPr>
        <w:t xml:space="preserve"> $5,000,000</w:t>
      </w:r>
    </w:p>
    <w:p w14:paraId="5B9114CD" w14:textId="77777777" w:rsidR="00583B8C" w:rsidRPr="00583B8C" w:rsidRDefault="00583B8C" w:rsidP="00583B8C">
      <w:pPr>
        <w:numPr>
          <w:ilvl w:val="1"/>
          <w:numId w:val="10"/>
        </w:numPr>
        <w:spacing w:after="160" w:line="259"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Tax Rate:</w:t>
      </w:r>
      <w:r w:rsidRPr="00583B8C">
        <w:rPr>
          <w:rFonts w:asciiTheme="minorHAnsi" w:eastAsia="Times New Roman" w:hAnsiTheme="minorHAnsi" w:cstheme="minorHAnsi"/>
          <w:sz w:val="24"/>
          <w:szCs w:val="24"/>
          <w:lang w:val="en-IN"/>
        </w:rPr>
        <w:t xml:space="preserve"> 6%</w:t>
      </w:r>
    </w:p>
    <w:p w14:paraId="67D7F5EE" w14:textId="1ADA718B" w:rsidR="00583B8C" w:rsidRPr="004B6375" w:rsidRDefault="00583B8C" w:rsidP="00583B8C">
      <w:pPr>
        <w:numPr>
          <w:ilvl w:val="1"/>
          <w:numId w:val="10"/>
        </w:numPr>
        <w:spacing w:after="160" w:line="259"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Tax Due:</w:t>
      </w:r>
    </w:p>
    <w:p w14:paraId="7ABB1F63" w14:textId="77777777" w:rsidR="004B6375" w:rsidRPr="004B6375" w:rsidRDefault="004B6375" w:rsidP="004B6375">
      <w:pPr>
        <w:spacing w:after="160" w:line="259" w:lineRule="auto"/>
        <w:ind w:left="1440"/>
        <w:rPr>
          <w:rFonts w:asciiTheme="minorHAnsi" w:eastAsia="Times New Roman" w:hAnsiTheme="minorHAnsi" w:cstheme="minorHAnsi"/>
          <w:sz w:val="24"/>
          <w:szCs w:val="24"/>
          <w:lang w:val="en-IN"/>
        </w:rPr>
      </w:pPr>
      <w:r w:rsidRPr="004B6375">
        <w:rPr>
          <w:rFonts w:asciiTheme="minorHAnsi" w:eastAsia="Times New Roman" w:hAnsiTheme="minorHAnsi" w:cstheme="minorHAnsi"/>
          <w:sz w:val="24"/>
          <w:szCs w:val="24"/>
          <w:lang w:val="en-IN"/>
        </w:rPr>
        <w:t>Corporate Tax Liability = Net Taxable Income * Corporate Tax Rate</w:t>
      </w:r>
    </w:p>
    <w:p w14:paraId="77B002D6" w14:textId="77777777" w:rsidR="004B6375" w:rsidRPr="004B6375" w:rsidRDefault="004B6375" w:rsidP="004B6375">
      <w:pPr>
        <w:spacing w:after="160" w:line="259" w:lineRule="auto"/>
        <w:ind w:left="1440"/>
        <w:rPr>
          <w:rFonts w:asciiTheme="minorHAnsi" w:eastAsia="Times New Roman" w:hAnsiTheme="minorHAnsi" w:cstheme="minorHAnsi"/>
          <w:b/>
          <w:sz w:val="24"/>
          <w:szCs w:val="24"/>
          <w:lang w:val="en-IN"/>
        </w:rPr>
      </w:pPr>
      <w:r w:rsidRPr="004B6375">
        <w:rPr>
          <w:rFonts w:asciiTheme="minorHAnsi" w:eastAsia="Times New Roman" w:hAnsiTheme="minorHAnsi" w:cstheme="minorHAnsi"/>
          <w:b/>
          <w:sz w:val="24"/>
          <w:szCs w:val="24"/>
          <w:lang w:val="en-IN"/>
        </w:rPr>
        <w:t>Corporate Tax Liability = 5,000,000 * 0.06 = $300,000</w:t>
      </w:r>
    </w:p>
    <w:p w14:paraId="49428EE7" w14:textId="3C028FF6" w:rsidR="004B6375" w:rsidRDefault="004B6375" w:rsidP="004B6375">
      <w:pPr>
        <w:spacing w:after="160" w:line="259" w:lineRule="auto"/>
        <w:ind w:left="1440"/>
        <w:rPr>
          <w:rFonts w:asciiTheme="minorHAnsi" w:eastAsia="Times New Roman" w:hAnsiTheme="minorHAnsi" w:cstheme="minorHAnsi"/>
          <w:b/>
          <w:sz w:val="24"/>
          <w:szCs w:val="24"/>
          <w:lang w:val="en-IN"/>
        </w:rPr>
      </w:pPr>
      <w:r w:rsidRPr="004B6375">
        <w:rPr>
          <w:rFonts w:asciiTheme="minorHAnsi" w:eastAsia="Times New Roman" w:hAnsiTheme="minorHAnsi" w:cstheme="minorHAnsi"/>
          <w:b/>
          <w:sz w:val="24"/>
          <w:szCs w:val="24"/>
          <w:lang w:val="en-IN"/>
        </w:rPr>
        <w:t>Therefore, the Virginia Corporate Net Income Tax liability for a company with $5,000,000 in net taxable income is $300,000.</w:t>
      </w:r>
    </w:p>
    <w:p w14:paraId="3672B690" w14:textId="77777777" w:rsidR="00C872B8" w:rsidRPr="00C872B8" w:rsidRDefault="00C872B8" w:rsidP="00C872B8">
      <w:pPr>
        <w:pStyle w:val="Heading3"/>
        <w:ind w:firstLine="360"/>
        <w:rPr>
          <w:rFonts w:asciiTheme="minorHAnsi" w:eastAsia="Times New Roman" w:hAnsiTheme="minorHAnsi" w:cstheme="minorHAnsi"/>
          <w:b w:val="0"/>
          <w:sz w:val="24"/>
          <w:szCs w:val="24"/>
          <w:lang w:val="en-IN"/>
        </w:rPr>
      </w:pPr>
      <w:r w:rsidRPr="00C872B8">
        <w:rPr>
          <w:rFonts w:asciiTheme="minorHAnsi" w:eastAsia="Times New Roman" w:hAnsiTheme="minorHAnsi" w:cstheme="minorHAnsi"/>
          <w:b w:val="0"/>
          <w:sz w:val="24"/>
          <w:szCs w:val="24"/>
          <w:lang w:val="en-IN"/>
        </w:rPr>
        <w:t>Additional Considerations:</w:t>
      </w:r>
    </w:p>
    <w:p w14:paraId="69D273A6" w14:textId="77777777" w:rsidR="00C872B8" w:rsidRPr="00C872B8" w:rsidRDefault="00C872B8" w:rsidP="00C872B8">
      <w:pPr>
        <w:pStyle w:val="NormalWeb"/>
        <w:numPr>
          <w:ilvl w:val="0"/>
          <w:numId w:val="18"/>
        </w:numPr>
        <w:rPr>
          <w:rFonts w:asciiTheme="minorHAnsi" w:hAnsiTheme="minorHAnsi" w:cstheme="minorHAnsi"/>
        </w:rPr>
      </w:pPr>
      <w:r w:rsidRPr="00C872B8">
        <w:rPr>
          <w:rFonts w:asciiTheme="minorHAnsi" w:hAnsiTheme="minorHAnsi" w:cstheme="minorHAnsi"/>
          <w:b/>
          <w:bCs/>
        </w:rPr>
        <w:t>Ohio CAT - Annual Minimum Tax (AMT):</w:t>
      </w:r>
    </w:p>
    <w:p w14:paraId="49AB9021" w14:textId="77777777" w:rsidR="00C872B8" w:rsidRPr="00C872B8" w:rsidRDefault="00C872B8" w:rsidP="00C872B8">
      <w:pPr>
        <w:numPr>
          <w:ilvl w:val="1"/>
          <w:numId w:val="18"/>
        </w:numPr>
        <w:spacing w:before="100" w:beforeAutospacing="1" w:after="100" w:afterAutospacing="1" w:line="240" w:lineRule="auto"/>
        <w:rPr>
          <w:rFonts w:asciiTheme="minorHAnsi" w:eastAsia="Times New Roman" w:hAnsiTheme="minorHAnsi" w:cstheme="minorHAnsi"/>
          <w:sz w:val="24"/>
          <w:szCs w:val="24"/>
          <w:lang w:val="en-IN"/>
        </w:rPr>
      </w:pPr>
      <w:r w:rsidRPr="00C872B8">
        <w:rPr>
          <w:rFonts w:asciiTheme="minorHAnsi" w:eastAsia="Times New Roman" w:hAnsiTheme="minorHAnsi" w:cstheme="minorHAnsi"/>
          <w:sz w:val="24"/>
          <w:szCs w:val="24"/>
          <w:lang w:val="en-IN"/>
        </w:rPr>
        <w:t>Ohio imposes an AMT, which is based on total taxable gross receipts. For gross receipts over $1M but less than $2M, the AMT is $800, and for receipts over $2M up to $4M, the AMT is $2,100.</w:t>
      </w:r>
    </w:p>
    <w:p w14:paraId="55C5203F" w14:textId="77777777" w:rsidR="00C872B8" w:rsidRPr="00C872B8" w:rsidRDefault="00C872B8" w:rsidP="00C872B8">
      <w:pPr>
        <w:numPr>
          <w:ilvl w:val="1"/>
          <w:numId w:val="18"/>
        </w:numPr>
        <w:spacing w:before="100" w:beforeAutospacing="1" w:after="100" w:afterAutospacing="1" w:line="240" w:lineRule="auto"/>
        <w:rPr>
          <w:rFonts w:asciiTheme="minorHAnsi" w:eastAsia="Times New Roman" w:hAnsiTheme="minorHAnsi" w:cstheme="minorHAnsi"/>
          <w:sz w:val="24"/>
          <w:szCs w:val="24"/>
          <w:lang w:val="en-IN"/>
        </w:rPr>
      </w:pPr>
      <w:r w:rsidRPr="00C872B8">
        <w:rPr>
          <w:rFonts w:asciiTheme="minorHAnsi" w:eastAsia="Times New Roman" w:hAnsiTheme="minorHAnsi" w:cstheme="minorHAnsi"/>
          <w:sz w:val="24"/>
          <w:szCs w:val="24"/>
          <w:lang w:val="en-IN"/>
        </w:rPr>
        <w:t>For receipts over $4M (which applies here), the AMT is $2,600. However, the AMT is part of the total CAT calculation and not an additional tax.</w:t>
      </w:r>
    </w:p>
    <w:p w14:paraId="0672FE10" w14:textId="77777777" w:rsidR="00C872B8" w:rsidRPr="00C872B8" w:rsidRDefault="00C872B8" w:rsidP="00C872B8">
      <w:pPr>
        <w:pStyle w:val="NormalWeb"/>
        <w:numPr>
          <w:ilvl w:val="0"/>
          <w:numId w:val="18"/>
        </w:numPr>
        <w:rPr>
          <w:rFonts w:asciiTheme="minorHAnsi" w:hAnsiTheme="minorHAnsi" w:cstheme="minorHAnsi"/>
        </w:rPr>
      </w:pPr>
      <w:r w:rsidRPr="00C872B8">
        <w:rPr>
          <w:rFonts w:asciiTheme="minorHAnsi" w:hAnsiTheme="minorHAnsi" w:cstheme="minorHAnsi"/>
          <w:b/>
          <w:bCs/>
        </w:rPr>
        <w:t>Ohio CAT - Progressive Rate Structure:</w:t>
      </w:r>
    </w:p>
    <w:p w14:paraId="4959A57C" w14:textId="26A1455A" w:rsidR="00C872B8" w:rsidRPr="00C872B8" w:rsidRDefault="00C872B8" w:rsidP="00C872B8">
      <w:pPr>
        <w:numPr>
          <w:ilvl w:val="1"/>
          <w:numId w:val="18"/>
        </w:numPr>
        <w:spacing w:before="100" w:beforeAutospacing="1" w:after="100" w:afterAutospacing="1" w:line="240" w:lineRule="auto"/>
        <w:rPr>
          <w:rFonts w:asciiTheme="minorHAnsi" w:eastAsia="Times New Roman" w:hAnsiTheme="minorHAnsi" w:cstheme="minorHAnsi"/>
          <w:sz w:val="24"/>
          <w:szCs w:val="24"/>
          <w:lang w:val="en-IN"/>
        </w:rPr>
      </w:pPr>
      <w:r w:rsidRPr="00C872B8">
        <w:rPr>
          <w:rFonts w:asciiTheme="minorHAnsi" w:eastAsia="Times New Roman" w:hAnsiTheme="minorHAnsi" w:cstheme="minorHAnsi"/>
          <w:sz w:val="24"/>
          <w:szCs w:val="24"/>
          <w:lang w:val="en-IN"/>
        </w:rPr>
        <w:t xml:space="preserve">Although the rate of 0.26% applies to gross receipts over $1M, the AMT must be factored into the tax calculation. Given the gross receipts of $24M, the correct total liability includes both the calculated tax and the AMT. Since the total tax </w:t>
      </w:r>
      <w:r w:rsidRPr="00C872B8">
        <w:rPr>
          <w:rFonts w:asciiTheme="minorHAnsi" w:eastAsia="Times New Roman" w:hAnsiTheme="minorHAnsi" w:cstheme="minorHAnsi"/>
          <w:sz w:val="24"/>
          <w:szCs w:val="24"/>
          <w:lang w:val="en-IN"/>
        </w:rPr>
        <w:lastRenderedPageBreak/>
        <w:t>($62,400) exceeds the AMT ($2,600), the AMT doesn’t increase the total tax owed but serves as a minimum threshold.</w:t>
      </w:r>
    </w:p>
    <w:p w14:paraId="75476F8B" w14:textId="77777777" w:rsidR="00583B8C" w:rsidRPr="00583B8C" w:rsidRDefault="00583B8C" w:rsidP="00583B8C">
      <w:pPr>
        <w:spacing w:after="160" w:line="259"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b/>
          <w:bCs/>
          <w:sz w:val="24"/>
          <w:szCs w:val="24"/>
          <w:lang w:val="en-IN"/>
        </w:rPr>
        <w:t>Comparison:</w:t>
      </w:r>
    </w:p>
    <w:p w14:paraId="508F20BB" w14:textId="3E343E1F" w:rsidR="00583B8C" w:rsidRPr="00583B8C" w:rsidRDefault="00583B8C" w:rsidP="00583B8C">
      <w:pPr>
        <w:numPr>
          <w:ilvl w:val="0"/>
          <w:numId w:val="11"/>
        </w:numPr>
        <w:spacing w:after="160" w:line="259" w:lineRule="auto"/>
        <w:rPr>
          <w:rFonts w:asciiTheme="minorHAnsi" w:eastAsia="Times New Roman" w:hAnsiTheme="minorHAnsi" w:cstheme="minorHAnsi"/>
          <w:sz w:val="24"/>
          <w:szCs w:val="24"/>
          <w:lang w:val="en-IN"/>
        </w:rPr>
      </w:pPr>
      <w:r w:rsidRPr="00583B8C">
        <w:rPr>
          <w:rFonts w:asciiTheme="minorHAnsi" w:eastAsia="Times New Roman" w:hAnsiTheme="minorHAnsi" w:cstheme="minorHAnsi"/>
          <w:sz w:val="24"/>
          <w:szCs w:val="24"/>
          <w:lang w:val="en-IN"/>
        </w:rPr>
        <w:t>Ohio’s CAT results i</w:t>
      </w:r>
      <w:r w:rsidR="00C872B8">
        <w:rPr>
          <w:rFonts w:asciiTheme="minorHAnsi" w:eastAsia="Times New Roman" w:hAnsiTheme="minorHAnsi" w:cstheme="minorHAnsi"/>
          <w:sz w:val="24"/>
          <w:szCs w:val="24"/>
          <w:lang w:val="en-IN"/>
        </w:rPr>
        <w:t>n a lower tax liability ($62,400</w:t>
      </w:r>
      <w:r w:rsidRPr="00583B8C">
        <w:rPr>
          <w:rFonts w:asciiTheme="minorHAnsi" w:eastAsia="Times New Roman" w:hAnsiTheme="minorHAnsi" w:cstheme="minorHAnsi"/>
          <w:sz w:val="24"/>
          <w:szCs w:val="24"/>
          <w:lang w:val="en-IN"/>
        </w:rPr>
        <w:t>) compared to Virginia's corporate net income tax ($300,000). However, Ohio’s CAT is based on gross receipts and does not account for profitability, which may be less favorable if the project’s profitability fluctuates.</w:t>
      </w:r>
    </w:p>
    <w:p w14:paraId="00000023" w14:textId="77777777" w:rsidR="006F1EF2" w:rsidRPr="00583B8C" w:rsidRDefault="006F1EF2">
      <w:pPr>
        <w:spacing w:after="160" w:line="259" w:lineRule="auto"/>
        <w:rPr>
          <w:rFonts w:asciiTheme="minorHAnsi" w:eastAsia="Times New Roman" w:hAnsiTheme="minorHAnsi" w:cstheme="minorHAnsi"/>
          <w:sz w:val="24"/>
          <w:szCs w:val="24"/>
        </w:rPr>
      </w:pPr>
    </w:p>
    <w:p w14:paraId="00000024" w14:textId="3DE6BB1D" w:rsidR="006F1EF2" w:rsidRPr="004B6375" w:rsidRDefault="004B6375">
      <w:pPr>
        <w:spacing w:after="160" w:line="259" w:lineRule="auto"/>
        <w:rPr>
          <w:rFonts w:asciiTheme="minorHAnsi" w:eastAsia="Times New Roman" w:hAnsiTheme="minorHAnsi" w:cstheme="minorHAnsi"/>
          <w:b/>
          <w:sz w:val="24"/>
          <w:szCs w:val="24"/>
          <w:u w:val="single"/>
        </w:rPr>
      </w:pPr>
      <w:r w:rsidRPr="004B6375">
        <w:rPr>
          <w:rFonts w:asciiTheme="minorHAnsi" w:eastAsia="Times New Roman" w:hAnsiTheme="minorHAnsi" w:cstheme="minorHAnsi"/>
          <w:b/>
          <w:sz w:val="24"/>
          <w:szCs w:val="24"/>
          <w:u w:val="single"/>
        </w:rPr>
        <w:t>CONCLUSIONS:</w:t>
      </w:r>
    </w:p>
    <w:p w14:paraId="2455BF7F" w14:textId="77777777" w:rsidR="00C872B8" w:rsidRPr="00C872B8" w:rsidRDefault="00C872B8" w:rsidP="00C872B8">
      <w:pPr>
        <w:spacing w:before="100" w:beforeAutospacing="1" w:after="100" w:afterAutospacing="1" w:line="240" w:lineRule="auto"/>
        <w:rPr>
          <w:rFonts w:asciiTheme="minorHAnsi" w:eastAsia="Times New Roman" w:hAnsiTheme="minorHAnsi" w:cstheme="minorHAnsi"/>
          <w:sz w:val="24"/>
          <w:szCs w:val="24"/>
          <w:u w:val="single"/>
          <w:lang w:val="en-IN"/>
        </w:rPr>
      </w:pPr>
      <w:r w:rsidRPr="00C872B8">
        <w:rPr>
          <w:rFonts w:asciiTheme="minorHAnsi" w:eastAsia="Times New Roman" w:hAnsiTheme="minorHAnsi" w:cstheme="minorHAnsi"/>
          <w:sz w:val="24"/>
          <w:szCs w:val="24"/>
          <w:u w:val="single"/>
          <w:lang w:val="en-IN"/>
        </w:rPr>
        <w:t>Federal Issues:</w:t>
      </w:r>
    </w:p>
    <w:p w14:paraId="08A02390" w14:textId="77777777" w:rsidR="00C872B8" w:rsidRPr="00C872B8" w:rsidRDefault="00C872B8" w:rsidP="00C872B8">
      <w:pPr>
        <w:numPr>
          <w:ilvl w:val="0"/>
          <w:numId w:val="16"/>
        </w:numPr>
        <w:spacing w:before="100" w:beforeAutospacing="1" w:after="100" w:afterAutospacing="1" w:line="240" w:lineRule="auto"/>
        <w:rPr>
          <w:rFonts w:asciiTheme="minorHAnsi" w:eastAsia="Times New Roman" w:hAnsiTheme="minorHAnsi" w:cstheme="minorHAnsi"/>
          <w:sz w:val="24"/>
          <w:szCs w:val="24"/>
          <w:lang w:val="en-IN"/>
        </w:rPr>
      </w:pPr>
      <w:r w:rsidRPr="00C872B8">
        <w:rPr>
          <w:rFonts w:asciiTheme="minorHAnsi" w:eastAsia="Times New Roman" w:hAnsiTheme="minorHAnsi" w:cstheme="minorHAnsi"/>
          <w:sz w:val="24"/>
          <w:szCs w:val="24"/>
          <w:lang w:val="en-IN"/>
        </w:rPr>
        <w:t>The total MACRS tax depreciation expense for the first year is approximately $3,049,450.55.</w:t>
      </w:r>
    </w:p>
    <w:p w14:paraId="0280F62D" w14:textId="77777777" w:rsidR="00C872B8" w:rsidRPr="00C872B8" w:rsidRDefault="00C872B8" w:rsidP="00C872B8">
      <w:pPr>
        <w:numPr>
          <w:ilvl w:val="0"/>
          <w:numId w:val="16"/>
        </w:numPr>
        <w:spacing w:before="100" w:beforeAutospacing="1" w:after="100" w:afterAutospacing="1" w:line="240" w:lineRule="auto"/>
        <w:rPr>
          <w:rFonts w:asciiTheme="minorHAnsi" w:eastAsia="Times New Roman" w:hAnsiTheme="minorHAnsi" w:cstheme="minorHAnsi"/>
          <w:sz w:val="24"/>
          <w:szCs w:val="24"/>
          <w:lang w:val="en-IN"/>
        </w:rPr>
      </w:pPr>
      <w:r w:rsidRPr="00C872B8">
        <w:rPr>
          <w:rFonts w:asciiTheme="minorHAnsi" w:eastAsia="Times New Roman" w:hAnsiTheme="minorHAnsi" w:cstheme="minorHAnsi"/>
          <w:sz w:val="24"/>
          <w:szCs w:val="24"/>
          <w:lang w:val="en-IN"/>
        </w:rPr>
        <w:t>The $2M state grant qualifies for exclusion from taxable income under IRC Section 118 as it is a capital contribution intended for infrastructure development.</w:t>
      </w:r>
    </w:p>
    <w:p w14:paraId="2870CBEE" w14:textId="77777777" w:rsidR="00C872B8" w:rsidRPr="00C872B8" w:rsidRDefault="00C872B8" w:rsidP="00C872B8">
      <w:pPr>
        <w:spacing w:before="100" w:beforeAutospacing="1" w:after="100" w:afterAutospacing="1" w:line="240" w:lineRule="auto"/>
        <w:rPr>
          <w:rFonts w:asciiTheme="minorHAnsi" w:eastAsia="Times New Roman" w:hAnsiTheme="minorHAnsi" w:cstheme="minorHAnsi"/>
          <w:sz w:val="24"/>
          <w:szCs w:val="24"/>
          <w:u w:val="single"/>
          <w:lang w:val="en-IN"/>
        </w:rPr>
      </w:pPr>
      <w:r w:rsidRPr="00C872B8">
        <w:rPr>
          <w:rFonts w:asciiTheme="minorHAnsi" w:eastAsia="Times New Roman" w:hAnsiTheme="minorHAnsi" w:cstheme="minorHAnsi"/>
          <w:sz w:val="24"/>
          <w:szCs w:val="24"/>
          <w:u w:val="single"/>
          <w:lang w:val="en-IN"/>
        </w:rPr>
        <w:t>State Issues:</w:t>
      </w:r>
    </w:p>
    <w:p w14:paraId="0A4C2A0E" w14:textId="7D1FF101" w:rsidR="00C872B8" w:rsidRPr="00C872B8" w:rsidRDefault="00C872B8" w:rsidP="00C872B8">
      <w:pPr>
        <w:pStyle w:val="ListParagraph"/>
        <w:numPr>
          <w:ilvl w:val="0"/>
          <w:numId w:val="16"/>
        </w:numPr>
        <w:spacing w:before="100" w:beforeAutospacing="1" w:after="100" w:afterAutospacing="1" w:line="240" w:lineRule="auto"/>
        <w:rPr>
          <w:rFonts w:asciiTheme="minorHAnsi" w:eastAsia="Times New Roman" w:hAnsiTheme="minorHAnsi" w:cstheme="minorHAnsi"/>
          <w:sz w:val="24"/>
          <w:szCs w:val="24"/>
          <w:lang w:val="en-IN"/>
        </w:rPr>
      </w:pPr>
      <w:bookmarkStart w:id="0" w:name="_GoBack"/>
      <w:bookmarkEnd w:id="0"/>
      <w:r w:rsidRPr="00C872B8">
        <w:rPr>
          <w:rFonts w:asciiTheme="minorHAnsi" w:eastAsia="Times New Roman" w:hAnsiTheme="minorHAnsi" w:cstheme="minorHAnsi"/>
          <w:sz w:val="24"/>
          <w:szCs w:val="24"/>
          <w:lang w:val="en-IN"/>
        </w:rPr>
        <w:t>From a purely tax liability perspective, Ohio's CAT would result in a lower tax payment than Virginia's corporate net income tax. However, Ohio’s CAT is based on gross receipts, which could be less favorable in years with lower profitability. Therefore, Ohio may be the preferable location based on the current project’s anticipated revenue and profitability.</w:t>
      </w:r>
    </w:p>
    <w:p w14:paraId="00000026" w14:textId="5A5C4EAC" w:rsidR="006F1EF2" w:rsidRPr="00583B8C" w:rsidRDefault="006F1EF2">
      <w:pPr>
        <w:spacing w:after="160" w:line="259" w:lineRule="auto"/>
        <w:rPr>
          <w:rFonts w:asciiTheme="minorHAnsi" w:eastAsia="Times New Roman" w:hAnsiTheme="minorHAnsi" w:cstheme="minorHAnsi"/>
          <w:b/>
          <w:sz w:val="24"/>
          <w:szCs w:val="24"/>
        </w:rPr>
      </w:pPr>
    </w:p>
    <w:p w14:paraId="00000027" w14:textId="77777777" w:rsidR="006F1EF2" w:rsidRPr="00583B8C" w:rsidRDefault="006F1EF2">
      <w:pPr>
        <w:spacing w:after="160" w:line="259" w:lineRule="auto"/>
        <w:rPr>
          <w:rFonts w:asciiTheme="minorHAnsi" w:eastAsia="Times New Roman" w:hAnsiTheme="minorHAnsi" w:cstheme="minorHAnsi"/>
          <w:b/>
          <w:sz w:val="24"/>
          <w:szCs w:val="24"/>
        </w:rPr>
      </w:pPr>
    </w:p>
    <w:p w14:paraId="00000028" w14:textId="77777777" w:rsidR="006F1EF2" w:rsidRPr="00583B8C" w:rsidRDefault="006F1EF2">
      <w:pPr>
        <w:spacing w:after="160" w:line="259" w:lineRule="auto"/>
        <w:rPr>
          <w:rFonts w:asciiTheme="minorHAnsi" w:eastAsia="Times New Roman" w:hAnsiTheme="minorHAnsi" w:cstheme="minorHAnsi"/>
          <w:b/>
          <w:sz w:val="24"/>
          <w:szCs w:val="24"/>
        </w:rPr>
      </w:pPr>
    </w:p>
    <w:p w14:paraId="00000029" w14:textId="77777777" w:rsidR="006F1EF2" w:rsidRPr="00583B8C" w:rsidRDefault="006F1EF2">
      <w:pPr>
        <w:spacing w:after="160" w:line="259" w:lineRule="auto"/>
        <w:rPr>
          <w:rFonts w:asciiTheme="minorHAnsi" w:eastAsia="Times New Roman" w:hAnsiTheme="minorHAnsi" w:cstheme="minorHAnsi"/>
          <w:b/>
          <w:sz w:val="24"/>
          <w:szCs w:val="24"/>
        </w:rPr>
      </w:pPr>
    </w:p>
    <w:p w14:paraId="0000002A" w14:textId="77777777" w:rsidR="006F1EF2" w:rsidRPr="00583B8C" w:rsidRDefault="006F1EF2">
      <w:pPr>
        <w:spacing w:after="160" w:line="259" w:lineRule="auto"/>
        <w:rPr>
          <w:rFonts w:asciiTheme="minorHAnsi" w:eastAsia="Times New Roman" w:hAnsiTheme="minorHAnsi" w:cstheme="minorHAnsi"/>
          <w:b/>
          <w:sz w:val="24"/>
          <w:szCs w:val="24"/>
        </w:rPr>
      </w:pPr>
    </w:p>
    <w:p w14:paraId="0000002B" w14:textId="77777777" w:rsidR="006F1EF2" w:rsidRPr="00583B8C" w:rsidRDefault="006F1EF2">
      <w:pPr>
        <w:spacing w:after="0" w:line="240" w:lineRule="auto"/>
        <w:rPr>
          <w:rFonts w:asciiTheme="minorHAnsi" w:eastAsia="Times New Roman" w:hAnsiTheme="minorHAnsi" w:cstheme="minorHAnsi"/>
          <w:b/>
          <w:sz w:val="24"/>
          <w:szCs w:val="24"/>
        </w:rPr>
      </w:pPr>
    </w:p>
    <w:sectPr w:rsidR="006F1EF2" w:rsidRPr="00583B8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A3D51" w14:textId="77777777" w:rsidR="00D85380" w:rsidRDefault="00D85380">
      <w:pPr>
        <w:spacing w:after="0" w:line="240" w:lineRule="auto"/>
      </w:pPr>
      <w:r>
        <w:separator/>
      </w:r>
    </w:p>
  </w:endnote>
  <w:endnote w:type="continuationSeparator" w:id="0">
    <w:p w14:paraId="2DAA44AF" w14:textId="77777777" w:rsidR="00D85380" w:rsidRDefault="00D8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F" w14:textId="77777777" w:rsidR="006F1EF2" w:rsidRDefault="006F1EF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1" w14:textId="40B6C2D5" w:rsidR="006F1EF2" w:rsidRDefault="00D8538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366953">
      <w:rPr>
        <w:color w:val="000000"/>
      </w:rPr>
      <w:fldChar w:fldCharType="separate"/>
    </w:r>
    <w:r w:rsidR="005E30B3">
      <w:rPr>
        <w:noProof/>
        <w:color w:val="000000"/>
      </w:rPr>
      <w:t>1</w:t>
    </w:r>
    <w:r>
      <w:rPr>
        <w:color w:val="000000"/>
      </w:rPr>
      <w:fldChar w:fldCharType="end"/>
    </w:r>
  </w:p>
  <w:p w14:paraId="00000032" w14:textId="77777777" w:rsidR="006F1EF2" w:rsidRDefault="006F1EF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0" w14:textId="77777777" w:rsidR="006F1EF2" w:rsidRDefault="006F1EF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60F56" w14:textId="77777777" w:rsidR="00D85380" w:rsidRDefault="00D85380">
      <w:pPr>
        <w:spacing w:after="0" w:line="240" w:lineRule="auto"/>
      </w:pPr>
      <w:r>
        <w:separator/>
      </w:r>
    </w:p>
  </w:footnote>
  <w:footnote w:type="continuationSeparator" w:id="0">
    <w:p w14:paraId="0EAD8B92" w14:textId="77777777" w:rsidR="00D85380" w:rsidRDefault="00D85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D" w14:textId="77777777" w:rsidR="006F1EF2" w:rsidRDefault="00D85380">
    <w:pPr>
      <w:pBdr>
        <w:top w:val="nil"/>
        <w:left w:val="nil"/>
        <w:bottom w:val="nil"/>
        <w:right w:val="nil"/>
        <w:between w:val="nil"/>
      </w:pBdr>
      <w:tabs>
        <w:tab w:val="center" w:pos="4680"/>
        <w:tab w:val="right" w:pos="9360"/>
      </w:tabs>
      <w:spacing w:after="0" w:line="240" w:lineRule="auto"/>
      <w:rPr>
        <w:color w:val="000000"/>
      </w:rPr>
    </w:pPr>
    <w:r>
      <w:rPr>
        <w:color w:val="000000"/>
      </w:rPr>
      <w:pict w14:anchorId="157ABF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12.4pt;height:247.4pt;rotation:315;z-index:-251657728;visibility:visible;mso-position-horizontal:center;mso-position-horizontal-relative:margin;mso-position-vertical:center;mso-position-vertical-relative:margin" fillcolor="silver" stroked="f">
          <v:fill opacity=".5"/>
          <v:textpath style="font-family:&quot;&amp;quot&quot;;font-size:1pt" string="DRAFT"/>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C" w14:textId="77777777" w:rsidR="006F1EF2" w:rsidRDefault="00D85380">
    <w:pPr>
      <w:pBdr>
        <w:top w:val="nil"/>
        <w:left w:val="nil"/>
        <w:bottom w:val="nil"/>
        <w:right w:val="nil"/>
        <w:between w:val="nil"/>
      </w:pBdr>
      <w:tabs>
        <w:tab w:val="center" w:pos="4680"/>
        <w:tab w:val="right" w:pos="9360"/>
      </w:tabs>
      <w:spacing w:after="0" w:line="240" w:lineRule="auto"/>
      <w:rPr>
        <w:color w:val="000000"/>
      </w:rPr>
    </w:pPr>
    <w:r>
      <w:rPr>
        <w:color w:val="000000"/>
      </w:rPr>
      <w:pict w14:anchorId="66518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12.4pt;height:247.4pt;rotation:315;z-index:-251659776;visibility:visible;mso-position-horizontal:center;mso-position-horizontal-relative:margin;mso-position-vertical:center;mso-position-vertical-relative:margin" fillcolor="silver" stroked="f">
          <v:fill opacity=".5"/>
          <v:textpath style="font-family:&quot;&amp;quot&quot;;font-size:1pt" string="DRAFT"/>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E" w14:textId="77777777" w:rsidR="006F1EF2" w:rsidRDefault="00D85380">
    <w:pPr>
      <w:pBdr>
        <w:top w:val="nil"/>
        <w:left w:val="nil"/>
        <w:bottom w:val="nil"/>
        <w:right w:val="nil"/>
        <w:between w:val="nil"/>
      </w:pBdr>
      <w:tabs>
        <w:tab w:val="center" w:pos="4680"/>
        <w:tab w:val="right" w:pos="9360"/>
      </w:tabs>
      <w:spacing w:after="0" w:line="240" w:lineRule="auto"/>
      <w:rPr>
        <w:color w:val="000000"/>
      </w:rPr>
    </w:pPr>
    <w:r>
      <w:rPr>
        <w:color w:val="000000"/>
      </w:rPr>
      <w:pict w14:anchorId="5E6EC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12.4pt;height:247.4pt;rotation:315;z-index:-251658752;visibility:visible;mso-position-horizontal:center;mso-position-horizontal-relative:margin;mso-position-vertical:center;mso-position-vertical-relative:margin" fillcolor="silver" stroked="f">
          <v:fill opacity=".5"/>
          <v:textpath style="font-family:&quot;&amp;quot&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EAC"/>
    <w:multiLevelType w:val="multilevel"/>
    <w:tmpl w:val="691EF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77321"/>
    <w:multiLevelType w:val="multilevel"/>
    <w:tmpl w:val="329617D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 w15:restartNumberingAfterBreak="0">
    <w:nsid w:val="19E6506B"/>
    <w:multiLevelType w:val="multilevel"/>
    <w:tmpl w:val="B55C2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B046D"/>
    <w:multiLevelType w:val="multilevel"/>
    <w:tmpl w:val="03A6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B63D6"/>
    <w:multiLevelType w:val="multilevel"/>
    <w:tmpl w:val="C128A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400B7"/>
    <w:multiLevelType w:val="multilevel"/>
    <w:tmpl w:val="52F8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13AE0"/>
    <w:multiLevelType w:val="multilevel"/>
    <w:tmpl w:val="C266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D206C"/>
    <w:multiLevelType w:val="multilevel"/>
    <w:tmpl w:val="C31EF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28"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55B8B"/>
    <w:multiLevelType w:val="hybridMultilevel"/>
    <w:tmpl w:val="2744B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805958"/>
    <w:multiLevelType w:val="multilevel"/>
    <w:tmpl w:val="98E8A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F4DEA"/>
    <w:multiLevelType w:val="multilevel"/>
    <w:tmpl w:val="BBCC2750"/>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1" w15:restartNumberingAfterBreak="0">
    <w:nsid w:val="3F8F067A"/>
    <w:multiLevelType w:val="multilevel"/>
    <w:tmpl w:val="3E025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2E2E9E"/>
    <w:multiLevelType w:val="hybridMultilevel"/>
    <w:tmpl w:val="B1E08570"/>
    <w:lvl w:ilvl="0" w:tplc="84F29E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BD2BCE"/>
    <w:multiLevelType w:val="multilevel"/>
    <w:tmpl w:val="7E9CC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4392B"/>
    <w:multiLevelType w:val="multilevel"/>
    <w:tmpl w:val="C876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6543F"/>
    <w:multiLevelType w:val="multilevel"/>
    <w:tmpl w:val="8246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500DC"/>
    <w:multiLevelType w:val="multilevel"/>
    <w:tmpl w:val="47E0A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B1314"/>
    <w:multiLevelType w:val="multilevel"/>
    <w:tmpl w:val="5AB8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3"/>
  </w:num>
  <w:num w:numId="4">
    <w:abstractNumId w:val="0"/>
  </w:num>
  <w:num w:numId="5">
    <w:abstractNumId w:val="2"/>
  </w:num>
  <w:num w:numId="6">
    <w:abstractNumId w:val="4"/>
  </w:num>
  <w:num w:numId="7">
    <w:abstractNumId w:val="5"/>
  </w:num>
  <w:num w:numId="8">
    <w:abstractNumId w:val="14"/>
  </w:num>
  <w:num w:numId="9">
    <w:abstractNumId w:val="15"/>
  </w:num>
  <w:num w:numId="10">
    <w:abstractNumId w:val="9"/>
  </w:num>
  <w:num w:numId="11">
    <w:abstractNumId w:val="6"/>
  </w:num>
  <w:num w:numId="12">
    <w:abstractNumId w:val="13"/>
  </w:num>
  <w:num w:numId="13">
    <w:abstractNumId w:val="10"/>
  </w:num>
  <w:num w:numId="14">
    <w:abstractNumId w:val="1"/>
  </w:num>
  <w:num w:numId="15">
    <w:abstractNumId w:val="12"/>
  </w:num>
  <w:num w:numId="16">
    <w:abstractNumId w:val="17"/>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EF2"/>
    <w:rsid w:val="00366953"/>
    <w:rsid w:val="004B6375"/>
    <w:rsid w:val="00583B8C"/>
    <w:rsid w:val="005E30B3"/>
    <w:rsid w:val="006F1EF2"/>
    <w:rsid w:val="00C872B8"/>
    <w:rsid w:val="00D85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5408656"/>
  <w15:docId w15:val="{CE01471F-5C8E-4D0E-8780-42C4C70C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2D4B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2D4BA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noteText">
    <w:name w:val="footnote text"/>
    <w:basedOn w:val="Normal"/>
    <w:link w:val="FootnoteTextChar"/>
    <w:uiPriority w:val="99"/>
    <w:semiHidden/>
    <w:unhideWhenUsed/>
    <w:rsid w:val="0042272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42272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22727"/>
    <w:rPr>
      <w:vertAlign w:val="superscript"/>
    </w:rPr>
  </w:style>
  <w:style w:type="paragraph" w:styleId="BalloonText">
    <w:name w:val="Balloon Text"/>
    <w:basedOn w:val="Normal"/>
    <w:link w:val="BalloonTextChar"/>
    <w:uiPriority w:val="99"/>
    <w:semiHidden/>
    <w:unhideWhenUsed/>
    <w:rsid w:val="0042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727"/>
    <w:rPr>
      <w:rFonts w:ascii="Tahoma" w:hAnsi="Tahoma" w:cs="Tahoma"/>
      <w:sz w:val="16"/>
      <w:szCs w:val="16"/>
    </w:rPr>
  </w:style>
  <w:style w:type="paragraph" w:styleId="Header">
    <w:name w:val="header"/>
    <w:basedOn w:val="Normal"/>
    <w:link w:val="HeaderChar"/>
    <w:uiPriority w:val="99"/>
    <w:unhideWhenUsed/>
    <w:rsid w:val="002F2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2BF"/>
  </w:style>
  <w:style w:type="paragraph" w:styleId="Footer">
    <w:name w:val="footer"/>
    <w:basedOn w:val="Normal"/>
    <w:link w:val="FooterChar"/>
    <w:uiPriority w:val="99"/>
    <w:unhideWhenUsed/>
    <w:rsid w:val="002F2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2BF"/>
  </w:style>
  <w:style w:type="paragraph" w:styleId="EndnoteText">
    <w:name w:val="endnote text"/>
    <w:basedOn w:val="Normal"/>
    <w:link w:val="EndnoteTextChar"/>
    <w:uiPriority w:val="99"/>
    <w:semiHidden/>
    <w:unhideWhenUsed/>
    <w:rsid w:val="008856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5683"/>
    <w:rPr>
      <w:sz w:val="20"/>
      <w:szCs w:val="20"/>
    </w:rPr>
  </w:style>
  <w:style w:type="character" w:styleId="EndnoteReference">
    <w:name w:val="endnote reference"/>
    <w:basedOn w:val="DefaultParagraphFont"/>
    <w:uiPriority w:val="99"/>
    <w:semiHidden/>
    <w:unhideWhenUsed/>
    <w:rsid w:val="00885683"/>
    <w:rPr>
      <w:vertAlign w:val="superscript"/>
    </w:rPr>
  </w:style>
  <w:style w:type="character" w:styleId="Hyperlink">
    <w:name w:val="Hyperlink"/>
    <w:basedOn w:val="DefaultParagraphFont"/>
    <w:uiPriority w:val="99"/>
    <w:unhideWhenUsed/>
    <w:rsid w:val="00B50C76"/>
    <w:rPr>
      <w:color w:val="0000FF" w:themeColor="hyperlink"/>
      <w:u w:val="single"/>
    </w:rPr>
  </w:style>
  <w:style w:type="character" w:styleId="CommentReference">
    <w:name w:val="annotation reference"/>
    <w:basedOn w:val="DefaultParagraphFont"/>
    <w:uiPriority w:val="99"/>
    <w:semiHidden/>
    <w:unhideWhenUsed/>
    <w:rsid w:val="001F0BB5"/>
    <w:rPr>
      <w:sz w:val="16"/>
      <w:szCs w:val="16"/>
    </w:rPr>
  </w:style>
  <w:style w:type="paragraph" w:styleId="CommentText">
    <w:name w:val="annotation text"/>
    <w:basedOn w:val="Normal"/>
    <w:link w:val="CommentTextChar"/>
    <w:uiPriority w:val="99"/>
    <w:semiHidden/>
    <w:unhideWhenUsed/>
    <w:rsid w:val="001F0BB5"/>
    <w:pPr>
      <w:spacing w:line="240" w:lineRule="auto"/>
    </w:pPr>
    <w:rPr>
      <w:sz w:val="20"/>
      <w:szCs w:val="20"/>
    </w:rPr>
  </w:style>
  <w:style w:type="character" w:customStyle="1" w:styleId="CommentTextChar">
    <w:name w:val="Comment Text Char"/>
    <w:basedOn w:val="DefaultParagraphFont"/>
    <w:link w:val="CommentText"/>
    <w:uiPriority w:val="99"/>
    <w:semiHidden/>
    <w:rsid w:val="001F0BB5"/>
    <w:rPr>
      <w:sz w:val="20"/>
      <w:szCs w:val="20"/>
    </w:rPr>
  </w:style>
  <w:style w:type="paragraph" w:styleId="CommentSubject">
    <w:name w:val="annotation subject"/>
    <w:basedOn w:val="CommentText"/>
    <w:next w:val="CommentText"/>
    <w:link w:val="CommentSubjectChar"/>
    <w:uiPriority w:val="99"/>
    <w:semiHidden/>
    <w:unhideWhenUsed/>
    <w:rsid w:val="001F0BB5"/>
    <w:rPr>
      <w:b/>
      <w:bCs/>
    </w:rPr>
  </w:style>
  <w:style w:type="character" w:customStyle="1" w:styleId="CommentSubjectChar">
    <w:name w:val="Comment Subject Char"/>
    <w:basedOn w:val="CommentTextChar"/>
    <w:link w:val="CommentSubject"/>
    <w:uiPriority w:val="99"/>
    <w:semiHidden/>
    <w:rsid w:val="001F0BB5"/>
    <w:rPr>
      <w:b/>
      <w:bCs/>
      <w:sz w:val="20"/>
      <w:szCs w:val="20"/>
    </w:rPr>
  </w:style>
  <w:style w:type="paragraph" w:styleId="BodyText">
    <w:name w:val="Body Text"/>
    <w:basedOn w:val="Normal"/>
    <w:link w:val="BodyTextChar"/>
    <w:uiPriority w:val="99"/>
    <w:rsid w:val="006F63D3"/>
    <w:pPr>
      <w:spacing w:after="220" w:line="180" w:lineRule="atLeast"/>
      <w:ind w:left="835" w:right="835"/>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uiPriority w:val="99"/>
    <w:rsid w:val="006F63D3"/>
    <w:rPr>
      <w:rFonts w:ascii="Arial" w:eastAsia="Times New Roman" w:hAnsi="Arial" w:cs="Times New Roman"/>
      <w:spacing w:val="-5"/>
      <w:sz w:val="20"/>
      <w:szCs w:val="20"/>
    </w:rPr>
  </w:style>
  <w:style w:type="character" w:customStyle="1" w:styleId="Heading2Char">
    <w:name w:val="Heading 2 Char"/>
    <w:basedOn w:val="DefaultParagraphFont"/>
    <w:link w:val="Heading2"/>
    <w:uiPriority w:val="9"/>
    <w:semiHidden/>
    <w:rsid w:val="002D4BAD"/>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2D4BAD"/>
    <w:rPr>
      <w:color w:val="605E5C"/>
      <w:shd w:val="clear" w:color="auto" w:fill="E1DFDD"/>
    </w:rPr>
  </w:style>
  <w:style w:type="character" w:customStyle="1" w:styleId="Heading4Char">
    <w:name w:val="Heading 4 Char"/>
    <w:basedOn w:val="DefaultParagraphFont"/>
    <w:link w:val="Heading4"/>
    <w:uiPriority w:val="9"/>
    <w:semiHidden/>
    <w:rsid w:val="002D4BAD"/>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F3110F"/>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83B8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83B8C"/>
    <w:rPr>
      <w:b/>
      <w:bCs/>
    </w:rPr>
  </w:style>
  <w:style w:type="paragraph" w:styleId="HTMLPreformatted">
    <w:name w:val="HTML Preformatted"/>
    <w:basedOn w:val="Normal"/>
    <w:link w:val="HTMLPreformattedChar"/>
    <w:uiPriority w:val="99"/>
    <w:semiHidden/>
    <w:unhideWhenUsed/>
    <w:rsid w:val="00583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83B8C"/>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583B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2402">
      <w:bodyDiv w:val="1"/>
      <w:marLeft w:val="0"/>
      <w:marRight w:val="0"/>
      <w:marTop w:val="0"/>
      <w:marBottom w:val="0"/>
      <w:divBdr>
        <w:top w:val="none" w:sz="0" w:space="0" w:color="auto"/>
        <w:left w:val="none" w:sz="0" w:space="0" w:color="auto"/>
        <w:bottom w:val="none" w:sz="0" w:space="0" w:color="auto"/>
        <w:right w:val="none" w:sz="0" w:space="0" w:color="auto"/>
      </w:divBdr>
      <w:divsChild>
        <w:div w:id="1908879325">
          <w:marLeft w:val="0"/>
          <w:marRight w:val="0"/>
          <w:marTop w:val="0"/>
          <w:marBottom w:val="0"/>
          <w:divBdr>
            <w:top w:val="none" w:sz="0" w:space="0" w:color="auto"/>
            <w:left w:val="none" w:sz="0" w:space="0" w:color="auto"/>
            <w:bottom w:val="none" w:sz="0" w:space="0" w:color="auto"/>
            <w:right w:val="none" w:sz="0" w:space="0" w:color="auto"/>
          </w:divBdr>
          <w:divsChild>
            <w:div w:id="587543672">
              <w:marLeft w:val="0"/>
              <w:marRight w:val="0"/>
              <w:marTop w:val="0"/>
              <w:marBottom w:val="0"/>
              <w:divBdr>
                <w:top w:val="none" w:sz="0" w:space="0" w:color="auto"/>
                <w:left w:val="none" w:sz="0" w:space="0" w:color="auto"/>
                <w:bottom w:val="none" w:sz="0" w:space="0" w:color="auto"/>
                <w:right w:val="none" w:sz="0" w:space="0" w:color="auto"/>
              </w:divBdr>
              <w:divsChild>
                <w:div w:id="14182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7097">
          <w:marLeft w:val="0"/>
          <w:marRight w:val="0"/>
          <w:marTop w:val="0"/>
          <w:marBottom w:val="0"/>
          <w:divBdr>
            <w:top w:val="none" w:sz="0" w:space="0" w:color="auto"/>
            <w:left w:val="none" w:sz="0" w:space="0" w:color="auto"/>
            <w:bottom w:val="none" w:sz="0" w:space="0" w:color="auto"/>
            <w:right w:val="none" w:sz="0" w:space="0" w:color="auto"/>
          </w:divBdr>
          <w:divsChild>
            <w:div w:id="1155992862">
              <w:marLeft w:val="0"/>
              <w:marRight w:val="0"/>
              <w:marTop w:val="0"/>
              <w:marBottom w:val="0"/>
              <w:divBdr>
                <w:top w:val="none" w:sz="0" w:space="0" w:color="auto"/>
                <w:left w:val="none" w:sz="0" w:space="0" w:color="auto"/>
                <w:bottom w:val="none" w:sz="0" w:space="0" w:color="auto"/>
                <w:right w:val="none" w:sz="0" w:space="0" w:color="auto"/>
              </w:divBdr>
              <w:divsChild>
                <w:div w:id="13381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5081">
      <w:bodyDiv w:val="1"/>
      <w:marLeft w:val="0"/>
      <w:marRight w:val="0"/>
      <w:marTop w:val="0"/>
      <w:marBottom w:val="0"/>
      <w:divBdr>
        <w:top w:val="none" w:sz="0" w:space="0" w:color="auto"/>
        <w:left w:val="none" w:sz="0" w:space="0" w:color="auto"/>
        <w:bottom w:val="none" w:sz="0" w:space="0" w:color="auto"/>
        <w:right w:val="none" w:sz="0" w:space="0" w:color="auto"/>
      </w:divBdr>
      <w:divsChild>
        <w:div w:id="118300827">
          <w:marLeft w:val="0"/>
          <w:marRight w:val="0"/>
          <w:marTop w:val="0"/>
          <w:marBottom w:val="0"/>
          <w:divBdr>
            <w:top w:val="none" w:sz="0" w:space="0" w:color="auto"/>
            <w:left w:val="none" w:sz="0" w:space="0" w:color="auto"/>
            <w:bottom w:val="none" w:sz="0" w:space="0" w:color="auto"/>
            <w:right w:val="none" w:sz="0" w:space="0" w:color="auto"/>
          </w:divBdr>
          <w:divsChild>
            <w:div w:id="1354965041">
              <w:marLeft w:val="0"/>
              <w:marRight w:val="0"/>
              <w:marTop w:val="0"/>
              <w:marBottom w:val="0"/>
              <w:divBdr>
                <w:top w:val="none" w:sz="0" w:space="0" w:color="auto"/>
                <w:left w:val="none" w:sz="0" w:space="0" w:color="auto"/>
                <w:bottom w:val="none" w:sz="0" w:space="0" w:color="auto"/>
                <w:right w:val="none" w:sz="0" w:space="0" w:color="auto"/>
              </w:divBdr>
              <w:divsChild>
                <w:div w:id="7512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4018">
          <w:marLeft w:val="0"/>
          <w:marRight w:val="0"/>
          <w:marTop w:val="0"/>
          <w:marBottom w:val="0"/>
          <w:divBdr>
            <w:top w:val="none" w:sz="0" w:space="0" w:color="auto"/>
            <w:left w:val="none" w:sz="0" w:space="0" w:color="auto"/>
            <w:bottom w:val="none" w:sz="0" w:space="0" w:color="auto"/>
            <w:right w:val="none" w:sz="0" w:space="0" w:color="auto"/>
          </w:divBdr>
          <w:divsChild>
            <w:div w:id="280260723">
              <w:marLeft w:val="0"/>
              <w:marRight w:val="0"/>
              <w:marTop w:val="0"/>
              <w:marBottom w:val="0"/>
              <w:divBdr>
                <w:top w:val="none" w:sz="0" w:space="0" w:color="auto"/>
                <w:left w:val="none" w:sz="0" w:space="0" w:color="auto"/>
                <w:bottom w:val="none" w:sz="0" w:space="0" w:color="auto"/>
                <w:right w:val="none" w:sz="0" w:space="0" w:color="auto"/>
              </w:divBdr>
              <w:divsChild>
                <w:div w:id="21355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1631">
          <w:marLeft w:val="0"/>
          <w:marRight w:val="0"/>
          <w:marTop w:val="0"/>
          <w:marBottom w:val="0"/>
          <w:divBdr>
            <w:top w:val="none" w:sz="0" w:space="0" w:color="auto"/>
            <w:left w:val="none" w:sz="0" w:space="0" w:color="auto"/>
            <w:bottom w:val="none" w:sz="0" w:space="0" w:color="auto"/>
            <w:right w:val="none" w:sz="0" w:space="0" w:color="auto"/>
          </w:divBdr>
          <w:divsChild>
            <w:div w:id="761142034">
              <w:marLeft w:val="0"/>
              <w:marRight w:val="0"/>
              <w:marTop w:val="0"/>
              <w:marBottom w:val="0"/>
              <w:divBdr>
                <w:top w:val="none" w:sz="0" w:space="0" w:color="auto"/>
                <w:left w:val="none" w:sz="0" w:space="0" w:color="auto"/>
                <w:bottom w:val="none" w:sz="0" w:space="0" w:color="auto"/>
                <w:right w:val="none" w:sz="0" w:space="0" w:color="auto"/>
              </w:divBdr>
              <w:divsChild>
                <w:div w:id="11356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4819">
          <w:marLeft w:val="0"/>
          <w:marRight w:val="0"/>
          <w:marTop w:val="0"/>
          <w:marBottom w:val="0"/>
          <w:divBdr>
            <w:top w:val="none" w:sz="0" w:space="0" w:color="auto"/>
            <w:left w:val="none" w:sz="0" w:space="0" w:color="auto"/>
            <w:bottom w:val="none" w:sz="0" w:space="0" w:color="auto"/>
            <w:right w:val="none" w:sz="0" w:space="0" w:color="auto"/>
          </w:divBdr>
          <w:divsChild>
            <w:div w:id="1308625192">
              <w:marLeft w:val="0"/>
              <w:marRight w:val="0"/>
              <w:marTop w:val="0"/>
              <w:marBottom w:val="0"/>
              <w:divBdr>
                <w:top w:val="none" w:sz="0" w:space="0" w:color="auto"/>
                <w:left w:val="none" w:sz="0" w:space="0" w:color="auto"/>
                <w:bottom w:val="none" w:sz="0" w:space="0" w:color="auto"/>
                <w:right w:val="none" w:sz="0" w:space="0" w:color="auto"/>
              </w:divBdr>
              <w:divsChild>
                <w:div w:id="655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4708">
      <w:bodyDiv w:val="1"/>
      <w:marLeft w:val="0"/>
      <w:marRight w:val="0"/>
      <w:marTop w:val="0"/>
      <w:marBottom w:val="0"/>
      <w:divBdr>
        <w:top w:val="none" w:sz="0" w:space="0" w:color="auto"/>
        <w:left w:val="none" w:sz="0" w:space="0" w:color="auto"/>
        <w:bottom w:val="none" w:sz="0" w:space="0" w:color="auto"/>
        <w:right w:val="none" w:sz="0" w:space="0" w:color="auto"/>
      </w:divBdr>
    </w:div>
    <w:div w:id="321853134">
      <w:bodyDiv w:val="1"/>
      <w:marLeft w:val="0"/>
      <w:marRight w:val="0"/>
      <w:marTop w:val="0"/>
      <w:marBottom w:val="0"/>
      <w:divBdr>
        <w:top w:val="none" w:sz="0" w:space="0" w:color="auto"/>
        <w:left w:val="none" w:sz="0" w:space="0" w:color="auto"/>
        <w:bottom w:val="none" w:sz="0" w:space="0" w:color="auto"/>
        <w:right w:val="none" w:sz="0" w:space="0" w:color="auto"/>
      </w:divBdr>
    </w:div>
    <w:div w:id="347681837">
      <w:bodyDiv w:val="1"/>
      <w:marLeft w:val="0"/>
      <w:marRight w:val="0"/>
      <w:marTop w:val="0"/>
      <w:marBottom w:val="0"/>
      <w:divBdr>
        <w:top w:val="none" w:sz="0" w:space="0" w:color="auto"/>
        <w:left w:val="none" w:sz="0" w:space="0" w:color="auto"/>
        <w:bottom w:val="none" w:sz="0" w:space="0" w:color="auto"/>
        <w:right w:val="none" w:sz="0" w:space="0" w:color="auto"/>
      </w:divBdr>
    </w:div>
    <w:div w:id="351617631">
      <w:bodyDiv w:val="1"/>
      <w:marLeft w:val="0"/>
      <w:marRight w:val="0"/>
      <w:marTop w:val="0"/>
      <w:marBottom w:val="0"/>
      <w:divBdr>
        <w:top w:val="none" w:sz="0" w:space="0" w:color="auto"/>
        <w:left w:val="none" w:sz="0" w:space="0" w:color="auto"/>
        <w:bottom w:val="none" w:sz="0" w:space="0" w:color="auto"/>
        <w:right w:val="none" w:sz="0" w:space="0" w:color="auto"/>
      </w:divBdr>
    </w:div>
    <w:div w:id="540553309">
      <w:bodyDiv w:val="1"/>
      <w:marLeft w:val="0"/>
      <w:marRight w:val="0"/>
      <w:marTop w:val="0"/>
      <w:marBottom w:val="0"/>
      <w:divBdr>
        <w:top w:val="none" w:sz="0" w:space="0" w:color="auto"/>
        <w:left w:val="none" w:sz="0" w:space="0" w:color="auto"/>
        <w:bottom w:val="none" w:sz="0" w:space="0" w:color="auto"/>
        <w:right w:val="none" w:sz="0" w:space="0" w:color="auto"/>
      </w:divBdr>
    </w:div>
    <w:div w:id="554850312">
      <w:bodyDiv w:val="1"/>
      <w:marLeft w:val="0"/>
      <w:marRight w:val="0"/>
      <w:marTop w:val="0"/>
      <w:marBottom w:val="0"/>
      <w:divBdr>
        <w:top w:val="none" w:sz="0" w:space="0" w:color="auto"/>
        <w:left w:val="none" w:sz="0" w:space="0" w:color="auto"/>
        <w:bottom w:val="none" w:sz="0" w:space="0" w:color="auto"/>
        <w:right w:val="none" w:sz="0" w:space="0" w:color="auto"/>
      </w:divBdr>
    </w:div>
    <w:div w:id="761338359">
      <w:bodyDiv w:val="1"/>
      <w:marLeft w:val="0"/>
      <w:marRight w:val="0"/>
      <w:marTop w:val="0"/>
      <w:marBottom w:val="0"/>
      <w:divBdr>
        <w:top w:val="none" w:sz="0" w:space="0" w:color="auto"/>
        <w:left w:val="none" w:sz="0" w:space="0" w:color="auto"/>
        <w:bottom w:val="none" w:sz="0" w:space="0" w:color="auto"/>
        <w:right w:val="none" w:sz="0" w:space="0" w:color="auto"/>
      </w:divBdr>
      <w:divsChild>
        <w:div w:id="1742370121">
          <w:marLeft w:val="0"/>
          <w:marRight w:val="0"/>
          <w:marTop w:val="0"/>
          <w:marBottom w:val="0"/>
          <w:divBdr>
            <w:top w:val="none" w:sz="0" w:space="0" w:color="auto"/>
            <w:left w:val="none" w:sz="0" w:space="0" w:color="auto"/>
            <w:bottom w:val="none" w:sz="0" w:space="0" w:color="auto"/>
            <w:right w:val="none" w:sz="0" w:space="0" w:color="auto"/>
          </w:divBdr>
          <w:divsChild>
            <w:div w:id="1697659507">
              <w:marLeft w:val="0"/>
              <w:marRight w:val="0"/>
              <w:marTop w:val="0"/>
              <w:marBottom w:val="0"/>
              <w:divBdr>
                <w:top w:val="none" w:sz="0" w:space="0" w:color="auto"/>
                <w:left w:val="none" w:sz="0" w:space="0" w:color="auto"/>
                <w:bottom w:val="none" w:sz="0" w:space="0" w:color="auto"/>
                <w:right w:val="none" w:sz="0" w:space="0" w:color="auto"/>
              </w:divBdr>
              <w:divsChild>
                <w:div w:id="16520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0878">
          <w:marLeft w:val="0"/>
          <w:marRight w:val="0"/>
          <w:marTop w:val="0"/>
          <w:marBottom w:val="0"/>
          <w:divBdr>
            <w:top w:val="none" w:sz="0" w:space="0" w:color="auto"/>
            <w:left w:val="none" w:sz="0" w:space="0" w:color="auto"/>
            <w:bottom w:val="none" w:sz="0" w:space="0" w:color="auto"/>
            <w:right w:val="none" w:sz="0" w:space="0" w:color="auto"/>
          </w:divBdr>
          <w:divsChild>
            <w:div w:id="990333609">
              <w:marLeft w:val="0"/>
              <w:marRight w:val="0"/>
              <w:marTop w:val="0"/>
              <w:marBottom w:val="0"/>
              <w:divBdr>
                <w:top w:val="none" w:sz="0" w:space="0" w:color="auto"/>
                <w:left w:val="none" w:sz="0" w:space="0" w:color="auto"/>
                <w:bottom w:val="none" w:sz="0" w:space="0" w:color="auto"/>
                <w:right w:val="none" w:sz="0" w:space="0" w:color="auto"/>
              </w:divBdr>
              <w:divsChild>
                <w:div w:id="20940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7202">
          <w:marLeft w:val="0"/>
          <w:marRight w:val="0"/>
          <w:marTop w:val="0"/>
          <w:marBottom w:val="0"/>
          <w:divBdr>
            <w:top w:val="none" w:sz="0" w:space="0" w:color="auto"/>
            <w:left w:val="none" w:sz="0" w:space="0" w:color="auto"/>
            <w:bottom w:val="none" w:sz="0" w:space="0" w:color="auto"/>
            <w:right w:val="none" w:sz="0" w:space="0" w:color="auto"/>
          </w:divBdr>
          <w:divsChild>
            <w:div w:id="893346133">
              <w:marLeft w:val="0"/>
              <w:marRight w:val="0"/>
              <w:marTop w:val="0"/>
              <w:marBottom w:val="0"/>
              <w:divBdr>
                <w:top w:val="none" w:sz="0" w:space="0" w:color="auto"/>
                <w:left w:val="none" w:sz="0" w:space="0" w:color="auto"/>
                <w:bottom w:val="none" w:sz="0" w:space="0" w:color="auto"/>
                <w:right w:val="none" w:sz="0" w:space="0" w:color="auto"/>
              </w:divBdr>
              <w:divsChild>
                <w:div w:id="1520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6623">
          <w:marLeft w:val="0"/>
          <w:marRight w:val="0"/>
          <w:marTop w:val="0"/>
          <w:marBottom w:val="0"/>
          <w:divBdr>
            <w:top w:val="none" w:sz="0" w:space="0" w:color="auto"/>
            <w:left w:val="none" w:sz="0" w:space="0" w:color="auto"/>
            <w:bottom w:val="none" w:sz="0" w:space="0" w:color="auto"/>
            <w:right w:val="none" w:sz="0" w:space="0" w:color="auto"/>
          </w:divBdr>
          <w:divsChild>
            <w:div w:id="1916625750">
              <w:marLeft w:val="0"/>
              <w:marRight w:val="0"/>
              <w:marTop w:val="0"/>
              <w:marBottom w:val="0"/>
              <w:divBdr>
                <w:top w:val="none" w:sz="0" w:space="0" w:color="auto"/>
                <w:left w:val="none" w:sz="0" w:space="0" w:color="auto"/>
                <w:bottom w:val="none" w:sz="0" w:space="0" w:color="auto"/>
                <w:right w:val="none" w:sz="0" w:space="0" w:color="auto"/>
              </w:divBdr>
              <w:divsChild>
                <w:div w:id="18847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7786">
      <w:bodyDiv w:val="1"/>
      <w:marLeft w:val="0"/>
      <w:marRight w:val="0"/>
      <w:marTop w:val="0"/>
      <w:marBottom w:val="0"/>
      <w:divBdr>
        <w:top w:val="none" w:sz="0" w:space="0" w:color="auto"/>
        <w:left w:val="none" w:sz="0" w:space="0" w:color="auto"/>
        <w:bottom w:val="none" w:sz="0" w:space="0" w:color="auto"/>
        <w:right w:val="none" w:sz="0" w:space="0" w:color="auto"/>
      </w:divBdr>
    </w:div>
    <w:div w:id="1318000730">
      <w:bodyDiv w:val="1"/>
      <w:marLeft w:val="0"/>
      <w:marRight w:val="0"/>
      <w:marTop w:val="0"/>
      <w:marBottom w:val="0"/>
      <w:divBdr>
        <w:top w:val="none" w:sz="0" w:space="0" w:color="auto"/>
        <w:left w:val="none" w:sz="0" w:space="0" w:color="auto"/>
        <w:bottom w:val="none" w:sz="0" w:space="0" w:color="auto"/>
        <w:right w:val="none" w:sz="0" w:space="0" w:color="auto"/>
      </w:divBdr>
    </w:div>
    <w:div w:id="1827821869">
      <w:bodyDiv w:val="1"/>
      <w:marLeft w:val="0"/>
      <w:marRight w:val="0"/>
      <w:marTop w:val="0"/>
      <w:marBottom w:val="0"/>
      <w:divBdr>
        <w:top w:val="none" w:sz="0" w:space="0" w:color="auto"/>
        <w:left w:val="none" w:sz="0" w:space="0" w:color="auto"/>
        <w:bottom w:val="none" w:sz="0" w:space="0" w:color="auto"/>
        <w:right w:val="none" w:sz="0" w:space="0" w:color="auto"/>
      </w:divBdr>
      <w:divsChild>
        <w:div w:id="846678183">
          <w:marLeft w:val="0"/>
          <w:marRight w:val="0"/>
          <w:marTop w:val="0"/>
          <w:marBottom w:val="0"/>
          <w:divBdr>
            <w:top w:val="none" w:sz="0" w:space="0" w:color="auto"/>
            <w:left w:val="none" w:sz="0" w:space="0" w:color="auto"/>
            <w:bottom w:val="none" w:sz="0" w:space="0" w:color="auto"/>
            <w:right w:val="none" w:sz="0" w:space="0" w:color="auto"/>
          </w:divBdr>
          <w:divsChild>
            <w:div w:id="732463001">
              <w:marLeft w:val="0"/>
              <w:marRight w:val="0"/>
              <w:marTop w:val="0"/>
              <w:marBottom w:val="0"/>
              <w:divBdr>
                <w:top w:val="none" w:sz="0" w:space="0" w:color="auto"/>
                <w:left w:val="none" w:sz="0" w:space="0" w:color="auto"/>
                <w:bottom w:val="none" w:sz="0" w:space="0" w:color="auto"/>
                <w:right w:val="none" w:sz="0" w:space="0" w:color="auto"/>
              </w:divBdr>
              <w:divsChild>
                <w:div w:id="16921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59883">
          <w:marLeft w:val="0"/>
          <w:marRight w:val="0"/>
          <w:marTop w:val="0"/>
          <w:marBottom w:val="0"/>
          <w:divBdr>
            <w:top w:val="none" w:sz="0" w:space="0" w:color="auto"/>
            <w:left w:val="none" w:sz="0" w:space="0" w:color="auto"/>
            <w:bottom w:val="none" w:sz="0" w:space="0" w:color="auto"/>
            <w:right w:val="none" w:sz="0" w:space="0" w:color="auto"/>
          </w:divBdr>
          <w:divsChild>
            <w:div w:id="1567565921">
              <w:marLeft w:val="0"/>
              <w:marRight w:val="0"/>
              <w:marTop w:val="0"/>
              <w:marBottom w:val="0"/>
              <w:divBdr>
                <w:top w:val="none" w:sz="0" w:space="0" w:color="auto"/>
                <w:left w:val="none" w:sz="0" w:space="0" w:color="auto"/>
                <w:bottom w:val="none" w:sz="0" w:space="0" w:color="auto"/>
                <w:right w:val="none" w:sz="0" w:space="0" w:color="auto"/>
              </w:divBdr>
              <w:divsChild>
                <w:div w:id="11169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0176">
          <w:marLeft w:val="0"/>
          <w:marRight w:val="0"/>
          <w:marTop w:val="0"/>
          <w:marBottom w:val="0"/>
          <w:divBdr>
            <w:top w:val="none" w:sz="0" w:space="0" w:color="auto"/>
            <w:left w:val="none" w:sz="0" w:space="0" w:color="auto"/>
            <w:bottom w:val="none" w:sz="0" w:space="0" w:color="auto"/>
            <w:right w:val="none" w:sz="0" w:space="0" w:color="auto"/>
          </w:divBdr>
          <w:divsChild>
            <w:div w:id="2028823728">
              <w:marLeft w:val="0"/>
              <w:marRight w:val="0"/>
              <w:marTop w:val="0"/>
              <w:marBottom w:val="0"/>
              <w:divBdr>
                <w:top w:val="none" w:sz="0" w:space="0" w:color="auto"/>
                <w:left w:val="none" w:sz="0" w:space="0" w:color="auto"/>
                <w:bottom w:val="none" w:sz="0" w:space="0" w:color="auto"/>
                <w:right w:val="none" w:sz="0" w:space="0" w:color="auto"/>
              </w:divBdr>
              <w:divsChild>
                <w:div w:id="1705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7634">
          <w:marLeft w:val="0"/>
          <w:marRight w:val="0"/>
          <w:marTop w:val="0"/>
          <w:marBottom w:val="0"/>
          <w:divBdr>
            <w:top w:val="none" w:sz="0" w:space="0" w:color="auto"/>
            <w:left w:val="none" w:sz="0" w:space="0" w:color="auto"/>
            <w:bottom w:val="none" w:sz="0" w:space="0" w:color="auto"/>
            <w:right w:val="none" w:sz="0" w:space="0" w:color="auto"/>
          </w:divBdr>
          <w:divsChild>
            <w:div w:id="1811510950">
              <w:marLeft w:val="0"/>
              <w:marRight w:val="0"/>
              <w:marTop w:val="0"/>
              <w:marBottom w:val="0"/>
              <w:divBdr>
                <w:top w:val="none" w:sz="0" w:space="0" w:color="auto"/>
                <w:left w:val="none" w:sz="0" w:space="0" w:color="auto"/>
                <w:bottom w:val="none" w:sz="0" w:space="0" w:color="auto"/>
                <w:right w:val="none" w:sz="0" w:space="0" w:color="auto"/>
              </w:divBdr>
              <w:divsChild>
                <w:div w:id="13249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XEb/UK9Njl0Xd+RJAChISGhuWQ==">AMUW2mUzFpvNPUlu2yAegD3D1FIWq6j/HbraV/Y43f2KOEvKXxcYfj4ZGVHtPE7Q0rA142ugilMSIWzPCVV+VlwT0G08S8cSPsXI2vizVp+ypTCBPj7V+wA=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865</Words>
  <Characters>4632</Characters>
  <Application>Microsoft Office Word</Application>
  <DocSecurity>0</DocSecurity>
  <Lines>125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mbarrus</dc:creator>
  <cp:lastModifiedBy>UIET</cp:lastModifiedBy>
  <cp:revision>2</cp:revision>
  <dcterms:created xsi:type="dcterms:W3CDTF">2024-09-02T14:56:00Z</dcterms:created>
  <dcterms:modified xsi:type="dcterms:W3CDTF">2024-09-02T14:56:00Z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1c78571622f622326212d66abc6c6ce63a707a470a1f801b7876c8a4e55833af</vt:lpwstr>
  </property>
</Properties>
</file>