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37"/>
          <w:sz w:val="30"/>
          <w:szCs w:val="30"/>
        </w:rPr>
        <w:t xml:space="preserve">Analytical Workflow for Malaria Disease Dynamics in India</w:t>
      </w:r>
    </w:p>
    <w:p>
      <w:pPr>
        <w:spacing w:after="180"/>
        <w:jc w:val="center"/>
      </w:pPr>
      <w:r>
        <w:rPr>
          <w:rFonts w:ascii="Calibri" w:cs="Calibri" w:eastAsia="Calibri" w:hAnsi="Calibri"/>
          <w:i/>
          <w:iCs/>
          <w:color w:val="555555"/>
          <w:sz w:val="20"/>
          <w:szCs w:val="20"/>
        </w:rPr>
        <w:t xml:space="preserve">Data Integration, Feature Engineering, Forecasting Models and Public-Health Interpretation</w:t>
      </w:r>
    </w:p>
    <w:p>
      <w:pPr>
        <w:pStyle w:val="Heading1"/>
        <w:spacing w:after="100" w:before="220"/>
      </w:pPr>
      <w:r>
        <w:rPr>
          <w:rFonts w:ascii="Calibri" w:cs="Calibri" w:eastAsia="Calibri" w:hAnsi="Calibri"/>
          <w:b/>
          <w:bCs/>
          <w:color w:val="1F4E37"/>
        </w:rPr>
        <w:t xml:space="preserve">1. Objective and Scope</w:t>
      </w:r>
    </w:p>
    <w:p>
      <w:pPr>
        <w:spacing w:after="90"/>
      </w:pPr>
      <w:r>
        <w:rPr>
          <w:rFonts w:ascii="Calibri" w:cs="Calibri" w:eastAsia="Calibri" w:hAnsi="Calibri"/>
          <w:sz w:val="20"/>
          <w:szCs w:val="20"/>
        </w:rPr>
        <w:t xml:space="preserve">Malaria remains one of India's most geographically uneven infectious disease burdens, concentrated in forested, tribal and hard-to-reach districts. The task brief asked for an end-to-end workflow — data integration, spatio-temporal analysis and a forecasting model — applied to one disease. I chose malaria because India publishes multi-year, district-level case data and has an explicit national elimination target (2027 for zero indigenous transmission, 2030 for elimination), which gives the analysis a direct policy benchmark to evaluate against.</w:t>
      </w:r>
    </w:p>
    <w:p>
      <w:pPr>
        <w:pStyle w:val="Heading1"/>
        <w:spacing w:after="100" w:before="220"/>
      </w:pPr>
      <w:r>
        <w:rPr>
          <w:rFonts w:ascii="Calibri" w:cs="Calibri" w:eastAsia="Calibri" w:hAnsi="Calibri"/>
          <w:b/>
          <w:bCs/>
          <w:color w:val="1F4E37"/>
        </w:rPr>
        <w:t xml:space="preserve">2. Data Sources</w:t>
      </w:r>
    </w:p>
    <w:p>
      <w:pPr>
        <w:pStyle w:val="ListParagraph"/>
        <w:numPr>
          <w:ilvl w:val="0"/>
          <w:numId w:val="2"/>
        </w:numPr>
        <w:spacing w:after="40"/>
      </w:pPr>
      <w:r>
        <w:rPr>
          <w:rFonts w:ascii="Calibri" w:cs="Calibri" w:eastAsia="Calibri" w:hAnsi="Calibri"/>
          <w:b/>
          <w:bCs/>
          <w:sz w:val="20"/>
          <w:szCs w:val="20"/>
        </w:rPr>
        <w:t xml:space="preserve">Case data — </w:t>
      </w:r>
      <w:r>
        <w:rPr>
          <w:rFonts w:ascii="Calibri" w:cs="Calibri" w:eastAsia="Calibri" w:hAnsi="Calibri"/>
          <w:sz w:val="20"/>
          <w:szCs w:val="20"/>
        </w:rPr>
        <w:t xml:space="preserve">district-wise malaria cases/deaths (2000–2024) and state-wise cases, blood slides tested, Pf cases and deaths (2022–2026), the latter extracted from a scanned NVBDCP/NCVBDC PDF annual report.</w:t>
      </w:r>
    </w:p>
    <w:p>
      <w:pPr>
        <w:pStyle w:val="ListParagraph"/>
        <w:numPr>
          <w:ilvl w:val="0"/>
          <w:numId w:val="2"/>
        </w:numPr>
        <w:spacing w:after="40"/>
      </w:pPr>
      <w:r>
        <w:rPr>
          <w:rFonts w:ascii="Calibri" w:cs="Calibri" w:eastAsia="Calibri" w:hAnsi="Calibri"/>
          <w:b/>
          <w:bCs/>
          <w:sz w:val="20"/>
          <w:szCs w:val="20"/>
        </w:rPr>
        <w:t xml:space="preserve">Environmental covariates — </w:t>
      </w:r>
      <w:r>
        <w:rPr>
          <w:rFonts w:ascii="Calibri" w:cs="Calibri" w:eastAsia="Calibri" w:hAnsi="Calibri"/>
          <w:sz w:val="20"/>
          <w:szCs w:val="20"/>
        </w:rPr>
        <w:t xml:space="preserve">elevation (SRTM DEM), surface-water occurrence (JRC Global Surface Water) and vegetation index (MODIS NDVI), pulled per district centroid via Google Earth Engine.</w:t>
      </w:r>
    </w:p>
    <w:p>
      <w:pPr>
        <w:pStyle w:val="ListParagraph"/>
        <w:numPr>
          <w:ilvl w:val="0"/>
          <w:numId w:val="2"/>
        </w:numPr>
        <w:spacing w:after="40"/>
      </w:pPr>
      <w:r>
        <w:rPr>
          <w:rFonts w:ascii="Calibri" w:cs="Calibri" w:eastAsia="Calibri" w:hAnsi="Calibri"/>
          <w:b/>
          <w:bCs/>
          <w:sz w:val="20"/>
          <w:szCs w:val="20"/>
        </w:rPr>
        <w:t xml:space="preserve">Socio-economic indicators — </w:t>
      </w:r>
      <w:r>
        <w:rPr>
          <w:rFonts w:ascii="Calibri" w:cs="Calibri" w:eastAsia="Calibri" w:hAnsi="Calibri"/>
          <w:sz w:val="20"/>
          <w:szCs w:val="20"/>
        </w:rPr>
        <w:t xml:space="preserve">state-level literacy, IMR, population density, per-capita NSDP, sanitation, safe-water access, banking access and rural tele-density ranks.</w:t>
      </w:r>
    </w:p>
    <w:p>
      <w:pPr>
        <w:pStyle w:val="ListParagraph"/>
        <w:numPr>
          <w:ilvl w:val="0"/>
          <w:numId w:val="2"/>
        </w:numPr>
        <w:spacing w:after="40"/>
      </w:pPr>
      <w:r>
        <w:rPr>
          <w:rFonts w:ascii="Calibri" w:cs="Calibri" w:eastAsia="Calibri" w:hAnsi="Calibri"/>
          <w:b/>
          <w:bCs/>
          <w:sz w:val="20"/>
          <w:szCs w:val="20"/>
        </w:rPr>
        <w:t xml:space="preserve">Geolocation — </w:t>
      </w:r>
      <w:r>
        <w:rPr>
          <w:rFonts w:ascii="Calibri" w:cs="Calibri" w:eastAsia="Calibri" w:hAnsi="Calibri"/>
          <w:sz w:val="20"/>
          <w:szCs w:val="20"/>
        </w:rPr>
        <w:t xml:space="preserve">district centroids geocoded (geopy/Nominatim) to align all rasters and tables on a common state–district key.</w:t>
      </w:r>
    </w:p>
    <w:p>
      <w:pPr>
        <w:pStyle w:val="Heading1"/>
        <w:spacing w:after="100" w:before="220"/>
      </w:pPr>
      <w:r>
        <w:rPr>
          <w:rFonts w:ascii="Calibri" w:cs="Calibri" w:eastAsia="Calibri" w:hAnsi="Calibri"/>
          <w:b/>
          <w:bCs/>
          <w:color w:val="1F4E37"/>
        </w:rPr>
        <w:t xml:space="preserve">3. Pre-processing and Data Cleaning — What I Did and Why</w:t>
      </w:r>
    </w:p>
    <w:p>
      <w:pPr>
        <w:spacing w:after="90"/>
      </w:pPr>
      <w:r>
        <w:rPr>
          <w:rFonts w:ascii="Calibri" w:cs="Calibri" w:eastAsia="Calibri" w:hAnsi="Calibri"/>
          <w:sz w:val="20"/>
          <w:szCs w:val="20"/>
        </w:rPr>
        <w:t xml:space="preserve">Raw public-health data in India is rarely analysis-ready, so most of the effort went into cleaning before any modelling. Each step below was a deliberate decision, not a default pandas operation:</w:t>
      </w:r>
    </w:p>
    <w:p>
      <w:pPr>
        <w:spacing w:after="60" w:before="140"/>
      </w:pPr>
      <w:r>
        <w:rPr>
          <w:rFonts w:ascii="Calibri" w:cs="Calibri" w:eastAsia="Calibri" w:hAnsi="Calibri"/>
          <w:b/>
          <w:bCs/>
          <w:color w:val="2E6B4F"/>
          <w:sz w:val="21"/>
          <w:szCs w:val="21"/>
        </w:rPr>
        <w:t xml:space="preserve">3.1 Extracting the state-wise data from a PDF report</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used pdfplumber to detect and extract every table on every page of the NVBDCP annual report PDF, generating unique column names for header cells that were blank or duplicated, then concatenated all extracted tables into one CSV.</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official annual report is only published as a formatted PDF, not a machine-readable file — this was the only way to get state-wise slide-positivity and Pf-case data into a usable table without manual re-typing.</w:t>
      </w:r>
    </w:p>
    <w:p>
      <w:pPr>
        <w:spacing w:after="60" w:before="140"/>
      </w:pPr>
      <w:r>
        <w:rPr>
          <w:rFonts w:ascii="Calibri" w:cs="Calibri" w:eastAsia="Calibri" w:hAnsi="Calibri"/>
          <w:b/>
          <w:bCs/>
          <w:color w:val="2E6B4F"/>
          <w:sz w:val="21"/>
          <w:szCs w:val="21"/>
        </w:rPr>
        <w:t xml:space="preserve">3.2 Standardising text fields (state, district)</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stripped whitespace and applied consistent title-casing to every state and district string across all five source files before any merge.</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district-wise file, the state-wise file, the environmental extract and the socio-economic file each came from a different publisher, so the same place appeared as "WEST BENGAL", " West Bengal", and "west bengal " across files — a merge on raw strings would silently drop matching rows instead of raising an error.</w:t>
      </w:r>
    </w:p>
    <w:p>
      <w:pPr>
        <w:spacing w:after="60" w:before="140"/>
      </w:pPr>
      <w:r>
        <w:rPr>
          <w:rFonts w:ascii="Calibri" w:cs="Calibri" w:eastAsia="Calibri" w:hAnsi="Calibri"/>
          <w:b/>
          <w:bCs/>
          <w:color w:val="2E6B4F"/>
          <w:sz w:val="21"/>
          <w:szCs w:val="21"/>
        </w:rPr>
        <w:t xml:space="preserve">3.3 Numeric type safety</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converted total_cases, total_deaths, blood_slides_tested, positive_cases, pf_cases and deaths to numeric using pd.to_numeric / string-clean-then-cast, stripping thousands-separator commas and stray spaces first.</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source tables store large case counts as text with commas (e.g. "12,340"), which pandas reads as an object/string column by default — left uncleaned, every downstream arithmetic feature (rates, lags, rolling means) would silently fail or produce NaN.</w:t>
      </w:r>
    </w:p>
    <w:p>
      <w:pPr>
        <w:spacing w:after="60" w:before="140"/>
      </w:pPr>
      <w:r>
        <w:rPr>
          <w:rFonts w:ascii="Calibri" w:cs="Calibri" w:eastAsia="Calibri" w:hAnsi="Calibri"/>
          <w:b/>
          <w:bCs/>
          <w:color w:val="2E6B4F"/>
          <w:sz w:val="21"/>
          <w:szCs w:val="21"/>
        </w:rPr>
        <w:t xml:space="preserve">3.4 Handling the partial year ("2026 (upto June)")</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flagged such rows with an is_partial_year boolean instead of dropping them, and extracted a clean numeric year_clean via regex for merging/sorting.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a partial year is still informative for recent-trend context, but is not comparable to a full year's total — keeping it as a flagged column instead of silently truncating or discarding it lets the model exclude it exactly where it would bias training (e.g. lag/rolling features) while still using it for reporting.</w:t>
      </w:r>
    </w:p>
    <w:p>
      <w:pPr>
        <w:spacing w:after="60" w:before="140"/>
      </w:pPr>
      <w:r>
        <w:rPr>
          <w:rFonts w:ascii="Calibri" w:cs="Calibri" w:eastAsia="Calibri" w:hAnsi="Calibri"/>
          <w:b/>
          <w:bCs/>
          <w:color w:val="2E6B4F"/>
          <w:sz w:val="21"/>
          <w:szCs w:val="21"/>
        </w:rPr>
        <w:t xml:space="preserve">3.5 Recovering "Unknown" states in the district file</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built a district→state lookup dictionary from the geocoded district list and used it to fill rows where the state was recorded as "Unknown", keeping a before/after flag (state_is_unknown_original vs state_is_unknown) and exporting the rows that remained unresolved for manual audit rather than deleting them.</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silently dropping "Unknown" rows would have thrown away real case counts and biased state-level totals downward; recovering the state from the district name preserves the data while making the imputation fully auditable.</w:t>
      </w:r>
    </w:p>
    <w:p>
      <w:pPr>
        <w:spacing w:after="60" w:before="140"/>
      </w:pPr>
      <w:r>
        <w:rPr>
          <w:rFonts w:ascii="Calibri" w:cs="Calibri" w:eastAsia="Calibri" w:hAnsi="Calibri"/>
          <w:b/>
          <w:bCs/>
          <w:color w:val="2E6B4F"/>
          <w:sz w:val="21"/>
          <w:szCs w:val="21"/>
        </w:rPr>
        <w:t xml:space="preserve">3.6 Reconciling district name fragmentation</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maintained an explicit rename dictionary for known variants (e.g. East Nimar → Khandwa, Ahmadabad → Ahmedabad, Osmanabad → Dharashiv reflecting the 2022 renaming, Nellore → Spsr Nellore), then re-aggregated (summed) any district-year rows that collided after standardisation, since these usually reflect the same district reported under two names in different years.</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Indian districts are frequently renamed, split or merged (bifurcation is common); without this step the same physical district would appear as two separate, shorter time series, breaking every lag/rolling/trend feature computed per district.</w:t>
      </w:r>
    </w:p>
    <w:p>
      <w:pPr>
        <w:spacing w:after="60" w:before="140"/>
      </w:pPr>
      <w:r>
        <w:rPr>
          <w:rFonts w:ascii="Calibri" w:cs="Calibri" w:eastAsia="Calibri" w:hAnsi="Calibri"/>
          <w:b/>
          <w:bCs/>
          <w:color w:val="2E6B4F"/>
          <w:sz w:val="21"/>
          <w:szCs w:val="21"/>
        </w:rPr>
        <w:t xml:space="preserve">3.7 Sanity-check flags instead of silent deletion</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added boolean flags for internally inconsistent rows — positive cases exceeding blood slides tested, Pf cases exceeding total positive cases, and deaths exceeding total cases — and reported counts rather than auto-correcting or dropping them.</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these are classic manual-entry or table-extraction errors; auto-fixing them risks masking real data-quality issues, so they are surfaced for inspection and the analyst (or programme) can decide the right correction.</w:t>
      </w:r>
    </w:p>
    <w:p>
      <w:pPr>
        <w:spacing w:after="60" w:before="140"/>
      </w:pPr>
      <w:r>
        <w:rPr>
          <w:rFonts w:ascii="Calibri" w:cs="Calibri" w:eastAsia="Calibri" w:hAnsi="Calibri"/>
          <w:b/>
          <w:bCs/>
          <w:color w:val="2E6B4F"/>
          <w:sz w:val="21"/>
          <w:szCs w:val="21"/>
        </w:rPr>
        <w:t xml:space="preserve">3.8 Duplicate handling</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dropped exact duplicate state-year rows; for district-year duplicates created by the renaming step, aggregated by summing rather than dropping.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duplicates from re-export are noise and should be removed, but duplicates created by name harmonisation represent real, different case counts that need to be combined, not discarded — treating both the same way would have either double-counted cases or lost them.</w:t>
      </w:r>
    </w:p>
    <w:p>
      <w:pPr>
        <w:spacing w:after="60" w:before="140"/>
      </w:pPr>
      <w:r>
        <w:rPr>
          <w:rFonts w:ascii="Calibri" w:cs="Calibri" w:eastAsia="Calibri" w:hAnsi="Calibri"/>
          <w:b/>
          <w:bCs/>
          <w:color w:val="2E6B4F"/>
          <w:sz w:val="21"/>
          <w:szCs w:val="21"/>
        </w:rPr>
        <w:t xml:space="preserve">3.9 Merging static environmental data with a time series</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merged the single-year (2024) elevation / water-occurrence / NDVI extract onto the district panel by district only (not by year), and explicitly logged the match rate (share of rows with non-null NDVI) after the merge.</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elevation and long-run water occurrence are effectively static properties of a district, so a year-key merge would be wrong; logging the match rate catches silent merge failures caused by any district name that still doesn't line up after step 3.6.</w:t>
      </w:r>
    </w:p>
    <w:p>
      <w:r>
        <w:br w:type="page"/>
      </w:r>
    </w:p>
    <w:p>
      <w:pPr>
        <w:pStyle w:val="Heading1"/>
        <w:spacing w:after="100" w:before="220"/>
      </w:pPr>
      <w:r>
        <w:rPr>
          <w:rFonts w:ascii="Calibri" w:cs="Calibri" w:eastAsia="Calibri" w:hAnsi="Calibri"/>
          <w:b/>
          <w:bCs/>
          <w:color w:val="1F4E37"/>
        </w:rPr>
        <w:t xml:space="preserve">4. Feature Engineering — What Was Built and Why It Is Useful</w:t>
      </w:r>
    </w:p>
    <w:p>
      <w:pPr>
        <w:spacing w:after="90"/>
      </w:pPr>
      <w:r>
        <w:rPr>
          <w:rFonts w:ascii="Calibri" w:cs="Calibri" w:eastAsia="Calibri" w:hAnsi="Calibri"/>
          <w:sz w:val="20"/>
          <w:szCs w:val="20"/>
        </w:rPr>
        <w:t xml:space="preserve">Features were engineered separately for the district panel (annual, 2000–2024) and the state panel (2022–2026), each designed to give the model information that would genuinely have been available before the year being predicted.</w:t>
      </w:r>
    </w:p>
    <w:p>
      <w:pPr>
        <w:spacing w:after="60" w:before="140"/>
      </w:pPr>
      <w:r>
        <w:rPr>
          <w:rFonts w:ascii="Calibri" w:cs="Calibri" w:eastAsia="Calibri" w:hAnsi="Calibri"/>
          <w:b/>
          <w:bCs/>
          <w:color w:val="2E6B4F"/>
          <w:sz w:val="21"/>
          <w:szCs w:val="21"/>
        </w:rPr>
        <w:t xml:space="preserve">4.1 District-level features</w:t>
      </w:r>
    </w:p>
    <w:p>
      <w:pPr>
        <w:pStyle w:val="ListParagraph"/>
        <w:numPr>
          <w:ilvl w:val="0"/>
          <w:numId w:val="2"/>
        </w:numPr>
        <w:spacing w:after="40"/>
      </w:pPr>
      <w:r>
        <w:rPr>
          <w:rFonts w:ascii="Calibri" w:cs="Calibri" w:eastAsia="Calibri" w:hAnsi="Calibri"/>
          <w:b/>
          <w:bCs/>
          <w:sz w:val="20"/>
          <w:szCs w:val="20"/>
        </w:rPr>
        <w:t xml:space="preserve">cases_lag1 / lag2 / lag3 — </w:t>
      </w:r>
      <w:r>
        <w:rPr>
          <w:rFonts w:ascii="Calibri" w:cs="Calibri" w:eastAsia="Calibri" w:hAnsi="Calibri"/>
          <w:sz w:val="20"/>
          <w:szCs w:val="20"/>
        </w:rPr>
        <w:t xml:space="preserve">the district's own case count in the previous 1–3 years. Malaria transmission is locally self-sustaining (an established vector population and parasite reservoir), so recent history is normally the single strongest predictor of near-term burden.</w:t>
      </w:r>
    </w:p>
    <w:p>
      <w:pPr>
        <w:pStyle w:val="ListParagraph"/>
        <w:numPr>
          <w:ilvl w:val="0"/>
          <w:numId w:val="2"/>
        </w:numPr>
        <w:spacing w:after="40"/>
      </w:pPr>
      <w:r>
        <w:rPr>
          <w:rFonts w:ascii="Calibri" w:cs="Calibri" w:eastAsia="Calibri" w:hAnsi="Calibri"/>
          <w:b/>
          <w:bCs/>
          <w:sz w:val="20"/>
          <w:szCs w:val="20"/>
        </w:rPr>
        <w:t xml:space="preserve">cases_roll3 / cases_roll5 — </w:t>
      </w:r>
      <w:r>
        <w:rPr>
          <w:rFonts w:ascii="Calibri" w:cs="Calibri" w:eastAsia="Calibri" w:hAnsi="Calibri"/>
          <w:sz w:val="20"/>
          <w:szCs w:val="20"/>
        </w:rPr>
        <w:t xml:space="preserve">3- and 5-year rolling means (computed on prior years only, via shift-then-rolling) that smooth out single-year reporting noise or a one-off outbreak, giving the model a more stable baseline than the last value alone.</w:t>
      </w:r>
    </w:p>
    <w:p>
      <w:pPr>
        <w:pStyle w:val="ListParagraph"/>
        <w:numPr>
          <w:ilvl w:val="0"/>
          <w:numId w:val="2"/>
        </w:numPr>
        <w:spacing w:after="40"/>
      </w:pPr>
      <w:r>
        <w:rPr>
          <w:rFonts w:ascii="Calibri" w:cs="Calibri" w:eastAsia="Calibri" w:hAnsi="Calibri"/>
          <w:b/>
          <w:bCs/>
          <w:sz w:val="20"/>
          <w:szCs w:val="20"/>
        </w:rPr>
        <w:t xml:space="preserve">cases_trend_slope — </w:t>
      </w:r>
      <w:r>
        <w:rPr>
          <w:rFonts w:ascii="Calibri" w:cs="Calibri" w:eastAsia="Calibri" w:hAnsi="Calibri"/>
          <w:sz w:val="20"/>
          <w:szCs w:val="20"/>
        </w:rPr>
        <w:t xml:space="preserve">the slope of a linear fit through all prior years' cases at each point in time, capturing whether a district is on a genuine multi-year decline or incline — this is the feature that most directly encodes "is intervention working here."</w:t>
      </w:r>
    </w:p>
    <w:p>
      <w:pPr>
        <w:pStyle w:val="ListParagraph"/>
        <w:numPr>
          <w:ilvl w:val="0"/>
          <w:numId w:val="2"/>
        </w:numPr>
        <w:spacing w:after="40"/>
      </w:pPr>
      <w:r>
        <w:rPr>
          <w:rFonts w:ascii="Calibri" w:cs="Calibri" w:eastAsia="Calibri" w:hAnsi="Calibri"/>
          <w:b/>
          <w:bCs/>
          <w:sz w:val="20"/>
          <w:szCs w:val="20"/>
        </w:rPr>
        <w:t xml:space="preserve">cases_historical_mean — </w:t>
      </w:r>
      <w:r>
        <w:rPr>
          <w:rFonts w:ascii="Calibri" w:cs="Calibri" w:eastAsia="Calibri" w:hAnsi="Calibri"/>
          <w:sz w:val="20"/>
          <w:szCs w:val="20"/>
        </w:rPr>
        <w:t xml:space="preserve">the expanding (all-prior-years) mean, i.e. whether a district is historically a high- or low-burden area regardless of the current year's fluctuation.</w:t>
      </w:r>
    </w:p>
    <w:p>
      <w:pPr>
        <w:pStyle w:val="ListParagraph"/>
        <w:numPr>
          <w:ilvl w:val="0"/>
          <w:numId w:val="2"/>
        </w:numPr>
        <w:spacing w:after="40"/>
      </w:pPr>
      <w:r>
        <w:rPr>
          <w:rFonts w:ascii="Calibri" w:cs="Calibri" w:eastAsia="Calibri" w:hAnsi="Calibri"/>
          <w:b/>
          <w:bCs/>
          <w:sz w:val="20"/>
          <w:szCs w:val="20"/>
        </w:rPr>
        <w:t xml:space="preserve">cases_volatility_5yr — </w:t>
      </w:r>
      <w:r>
        <w:rPr>
          <w:rFonts w:ascii="Calibri" w:cs="Calibri" w:eastAsia="Calibri" w:hAnsi="Calibri"/>
          <w:sz w:val="20"/>
          <w:szCs w:val="20"/>
        </w:rPr>
        <w:t xml:space="preserve">rolling 5-year standard deviation of cases, flagging districts with erratic, spike-prone reporting versus stable trends — useful both as a model feature and as a data-quality signal.</w:t>
      </w:r>
    </w:p>
    <w:p>
      <w:pPr>
        <w:pStyle w:val="ListParagraph"/>
        <w:numPr>
          <w:ilvl w:val="0"/>
          <w:numId w:val="2"/>
        </w:numPr>
        <w:spacing w:after="40"/>
      </w:pPr>
      <w:r>
        <w:rPr>
          <w:rFonts w:ascii="Calibri" w:cs="Calibri" w:eastAsia="Calibri" w:hAnsi="Calibri"/>
          <w:b/>
          <w:bCs/>
          <w:sz w:val="20"/>
          <w:szCs w:val="20"/>
        </w:rPr>
        <w:t xml:space="preserve">elevation_m, water_occurrence_pct, ndvi_2024 — </w:t>
      </w:r>
      <w:r>
        <w:rPr>
          <w:rFonts w:ascii="Calibri" w:cs="Calibri" w:eastAsia="Calibri" w:hAnsi="Calibri"/>
          <w:sz w:val="20"/>
          <w:szCs w:val="20"/>
        </w:rPr>
        <w:t xml:space="preserve">the ecological drivers of vector breeding habitat and survival (see Section 8), included as they change slowly and provide a baseline suitability signal independent of the case history.</w:t>
      </w:r>
    </w:p>
    <w:p>
      <w:pPr>
        <w:pStyle w:val="ListParagraph"/>
        <w:numPr>
          <w:ilvl w:val="0"/>
          <w:numId w:val="2"/>
        </w:numPr>
        <w:spacing w:after="40"/>
      </w:pPr>
      <w:r>
        <w:rPr>
          <w:rFonts w:ascii="Calibri" w:cs="Calibri" w:eastAsia="Calibri" w:hAnsi="Calibri"/>
          <w:b/>
          <w:bCs/>
          <w:sz w:val="20"/>
          <w:szCs w:val="20"/>
        </w:rPr>
        <w:t xml:space="preserve">high_water_area, high_ndvi — </w:t>
      </w:r>
      <w:r>
        <w:rPr>
          <w:rFonts w:ascii="Calibri" w:cs="Calibri" w:eastAsia="Calibri" w:hAnsi="Calibri"/>
          <w:sz w:val="20"/>
          <w:szCs w:val="20"/>
        </w:rPr>
        <w:t xml:space="preserve">binarised versions of the above (above-median flags), added because tree-based models can sometimes exploit a clean threshold split more efficiently than a continuous ramp, and because these thresholds are directly interpretable ("is this a high-standing-water district, yes/no").</w:t>
      </w:r>
    </w:p>
    <w:p>
      <w:pPr>
        <w:pStyle w:val="ListParagraph"/>
        <w:numPr>
          <w:ilvl w:val="0"/>
          <w:numId w:val="2"/>
        </w:numPr>
        <w:spacing w:after="40"/>
      </w:pPr>
      <w:r>
        <w:rPr>
          <w:rFonts w:ascii="Calibri" w:cs="Calibri" w:eastAsia="Calibri" w:hAnsi="Calibri"/>
          <w:b/>
          <w:bCs/>
          <w:sz w:val="20"/>
          <w:szCs w:val="20"/>
        </w:rPr>
        <w:t xml:space="preserve">Excluded for leakage — </w:t>
      </w:r>
      <w:r>
        <w:rPr>
          <w:rFonts w:ascii="Calibri" w:cs="Calibri" w:eastAsia="Calibri" w:hAnsi="Calibri"/>
          <w:sz w:val="20"/>
          <w:szCs w:val="20"/>
        </w:rPr>
        <w:t xml:space="preserve">rank_within_state_year (a same-year rank of the target) and cases_per_1000m_elevation (a same-year ratio using the target) were deliberately left out of the model's feature list even though they exist in the cleaned file, because both are computed from the current year's total_cases — including them would let the model see a transformed version of the answer it is predicting.</w:t>
      </w:r>
    </w:p>
    <w:p>
      <w:pPr>
        <w:spacing w:after="60" w:before="140"/>
      </w:pPr>
      <w:r>
        <w:rPr>
          <w:rFonts w:ascii="Calibri" w:cs="Calibri" w:eastAsia="Calibri" w:hAnsi="Calibri"/>
          <w:b/>
          <w:bCs/>
          <w:color w:val="2E6B4F"/>
          <w:sz w:val="21"/>
          <w:szCs w:val="21"/>
        </w:rPr>
        <w:t xml:space="preserve">4.2 State-level features</w:t>
      </w:r>
    </w:p>
    <w:p>
      <w:pPr>
        <w:pStyle w:val="ListParagraph"/>
        <w:numPr>
          <w:ilvl w:val="0"/>
          <w:numId w:val="2"/>
        </w:numPr>
        <w:spacing w:after="40"/>
      </w:pPr>
      <w:r>
        <w:rPr>
          <w:rFonts w:ascii="Calibri" w:cs="Calibri" w:eastAsia="Calibri" w:hAnsi="Calibri"/>
          <w:b/>
          <w:bCs/>
          <w:sz w:val="20"/>
          <w:szCs w:val="20"/>
        </w:rPr>
        <w:t xml:space="preserve">positive_cases_lag1, positive_cases_roll2 — </w:t>
      </w:r>
      <w:r>
        <w:rPr>
          <w:rFonts w:ascii="Calibri" w:cs="Calibri" w:eastAsia="Calibri" w:hAnsi="Calibri"/>
          <w:sz w:val="20"/>
          <w:szCs w:val="20"/>
        </w:rPr>
        <w:t xml:space="preserve">the state-level equivalent of the district lag/rolling features (a 2-year window, since only a handful of full years exist at state level).</w:t>
      </w:r>
    </w:p>
    <w:p>
      <w:pPr>
        <w:pStyle w:val="ListParagraph"/>
        <w:numPr>
          <w:ilvl w:val="0"/>
          <w:numId w:val="2"/>
        </w:numPr>
        <w:spacing w:after="40"/>
      </w:pPr>
      <w:r>
        <w:rPr>
          <w:rFonts w:ascii="Calibri" w:cs="Calibri" w:eastAsia="Calibri" w:hAnsi="Calibri"/>
          <w:b/>
          <w:bCs/>
          <w:sz w:val="20"/>
          <w:szCs w:val="20"/>
        </w:rPr>
        <w:t xml:space="preserve">testing_intensity — </w:t>
      </w:r>
      <w:r>
        <w:rPr>
          <w:rFonts w:ascii="Calibri" w:cs="Calibri" w:eastAsia="Calibri" w:hAnsi="Calibri"/>
          <w:sz w:val="20"/>
          <w:szCs w:val="20"/>
        </w:rPr>
        <w:t xml:space="preserve">blood slides tested that year relative to the state's own historical average testing volume — added so the model can partly distinguish a genuine case increase from a testing-effort increase (more testing mechanically finds more cases).</w:t>
      </w:r>
    </w:p>
    <w:p>
      <w:pPr>
        <w:pStyle w:val="ListParagraph"/>
        <w:numPr>
          <w:ilvl w:val="0"/>
          <w:numId w:val="2"/>
        </w:numPr>
        <w:spacing w:after="40"/>
      </w:pPr>
      <w:r>
        <w:rPr>
          <w:rFonts w:ascii="Calibri" w:cs="Calibri" w:eastAsia="Calibri" w:hAnsi="Calibri"/>
          <w:b/>
          <w:bCs/>
          <w:sz w:val="20"/>
          <w:szCs w:val="20"/>
        </w:rPr>
        <w:t xml:space="preserve">Socio-economic rank features — </w:t>
      </w:r>
      <w:r>
        <w:rPr>
          <w:rFonts w:ascii="Calibri" w:cs="Calibri" w:eastAsia="Calibri" w:hAnsi="Calibri"/>
          <w:sz w:val="20"/>
          <w:szCs w:val="20"/>
        </w:rPr>
        <w:t xml:space="preserve">per-capita NSDP, population density, literacy, IMR, rural tele-density, banking access, latrine facility and safe-water ranks, included because they proxy a state's health-system capacity and living conditions, both of which affect exposure and case detection.</w:t>
      </w:r>
    </w:p>
    <w:p>
      <w:pPr>
        <w:pStyle w:val="ListParagraph"/>
        <w:numPr>
          <w:ilvl w:val="0"/>
          <w:numId w:val="2"/>
        </w:numPr>
        <w:spacing w:after="40"/>
      </w:pPr>
      <w:r>
        <w:rPr>
          <w:rFonts w:ascii="Calibri" w:cs="Calibri" w:eastAsia="Calibri" w:hAnsi="Calibri"/>
          <w:b/>
          <w:bCs/>
          <w:sz w:val="20"/>
          <w:szCs w:val="20"/>
        </w:rPr>
        <w:t xml:space="preserve">Excluded for leakage — </w:t>
      </w:r>
      <w:r>
        <w:rPr>
          <w:rFonts w:ascii="Calibri" w:cs="Calibri" w:eastAsia="Calibri" w:hAnsi="Calibri"/>
          <w:sz w:val="20"/>
          <w:szCs w:val="20"/>
        </w:rPr>
        <w:t xml:space="preserve">slide_positivity_rate, pf_percentage, case_fatality_rate and cases_yoy_change_pct were all computed directly from positive_cases in the same row and were excluded from the state model's feature list for the same reason as above.</w:t>
      </w:r>
    </w:p>
    <w:p>
      <w:pPr>
        <w:spacing w:after="90"/>
      </w:pPr>
      <w:r>
        <w:rPr>
          <w:rFonts w:ascii="Calibri" w:cs="Calibri" w:eastAsia="Calibri" w:hAnsi="Calibri"/>
          <w:sz w:val="20"/>
          <w:szCs w:val="20"/>
        </w:rPr>
        <w:t xml:space="preserve">Two derived indicators — slide positivity rate (SPR) and case-fatality rate (CFR) — were deliberately kept in the cleaned dataset for reporting and EDA even though they are excluded from the model inputs: SPR is the standard WHO/NVBDCP severity indicator (positive slides per 100 tested) and CFR tracks case-management quality, so both are useful to report on even though neither may be used to predict the very count they are derived from.</w:t>
      </w:r>
    </w:p>
    <w:p>
      <w:pPr>
        <w:pStyle w:val="Heading1"/>
        <w:spacing w:after="100" w:before="220"/>
      </w:pPr>
      <w:r>
        <w:rPr>
          <w:rFonts w:ascii="Calibri" w:cs="Calibri" w:eastAsia="Calibri" w:hAnsi="Calibri"/>
          <w:b/>
          <w:bCs/>
          <w:color w:val="1F4E37"/>
        </w:rPr>
        <w:t xml:space="preserve">5. Exploratory Analysis — What the Charts Show</w:t>
      </w:r>
    </w:p>
    <w:p>
      <w:pPr>
        <w:spacing w:after="90"/>
      </w:pPr>
      <w:r>
        <w:rPr>
          <w:rFonts w:ascii="Calibri" w:cs="Calibri" w:eastAsia="Calibri" w:hAnsi="Calibri"/>
          <w:sz w:val="20"/>
          <w:szCs w:val="20"/>
        </w:rPr>
        <w:t xml:space="preserve">The EDA layer runs across the merged district and state panels; the eight charts referenced below are the ones actually produced by the pipeline.</w:t>
      </w:r>
    </w:p>
    <w:p>
      <w:pPr>
        <w:pStyle w:val="ListParagraph"/>
        <w:numPr>
          <w:ilvl w:val="0"/>
          <w:numId w:val="2"/>
        </w:numPr>
        <w:spacing w:after="40"/>
      </w:pPr>
      <w:r>
        <w:rPr>
          <w:rFonts w:ascii="Calibri" w:cs="Calibri" w:eastAsia="Calibri" w:hAnsi="Calibri"/>
          <w:b/>
          <w:bCs/>
          <w:sz w:val="20"/>
          <w:szCs w:val="20"/>
        </w:rPr>
        <w:t xml:space="preserve">Top 20 districts by mean annual cases (2000–2024): </w:t>
      </w:r>
      <w:r>
        <w:rPr>
          <w:rFonts w:ascii="Calibri" w:cs="Calibri" w:eastAsia="Calibri" w:hAnsi="Calibri"/>
          <w:sz w:val="20"/>
          <w:szCs w:val="20"/>
        </w:rPr>
        <w:t xml:space="preserve">the ranking is dominated by Odisha (Rayagada, Kalahandi, Koraput, Kandhamal, Malkangiri, Kendujhar, Nabarangpur, Mayurbhanj, Ganjam, Sambalpur, Anugul), the Chhattisgarh–Jharkhand belt (Bastar, Palamu, West Singhbhum, Jashpur, Surguja, Latehar) and Kolkata, which tops the list. This matches the well-documented concentration of India's malaria burden in the eastern/central tribal, forested corridor — exactly the belt targeted by IMEP-3.</w:t>
      </w:r>
    </w:p>
    <w:p>
      <w:pPr>
        <w:pStyle w:val="ListParagraph"/>
        <w:numPr>
          <w:ilvl w:val="0"/>
          <w:numId w:val="2"/>
        </w:numPr>
        <w:spacing w:after="40"/>
      </w:pPr>
      <w:r>
        <w:rPr>
          <w:rFonts w:ascii="Calibri" w:cs="Calibri" w:eastAsia="Calibri" w:hAnsi="Calibri"/>
          <w:b/>
          <w:bCs/>
          <w:sz w:val="20"/>
          <w:szCs w:val="20"/>
        </w:rPr>
        <w:t xml:space="preserve">National trend, 2000–2024: </w:t>
      </w:r>
      <w:r>
        <w:rPr>
          <w:rFonts w:ascii="Calibri" w:cs="Calibri" w:eastAsia="Calibri" w:hAnsi="Calibri"/>
          <w:sz w:val="20"/>
          <w:szCs w:val="20"/>
        </w:rPr>
        <w:t xml:space="preserve">cases hover near 1.3–1.5 million through the early-to-mid 2000s, plateau through the early 2010s, then decline sharply and fairly steadily from about 2017 onward to under 0.2 million by 2023–24 — visually consistent with NVBDCP's reported ~97% fall in annual cases since independence and India's 2024 exit from the WHO High-Burden-to-High-Impact group.</w:t>
      </w:r>
    </w:p>
    <w:p>
      <w:pPr>
        <w:pStyle w:val="ListParagraph"/>
        <w:numPr>
          <w:ilvl w:val="0"/>
          <w:numId w:val="2"/>
        </w:numPr>
        <w:spacing w:after="40"/>
      </w:pPr>
      <w:r>
        <w:rPr>
          <w:rFonts w:ascii="Calibri" w:cs="Calibri" w:eastAsia="Calibri" w:hAnsi="Calibri"/>
          <w:b/>
          <w:bCs/>
          <w:sz w:val="20"/>
          <w:szCs w:val="20"/>
        </w:rPr>
        <w:t xml:space="preserve">Pre-2016 vs. 2016-onward boxplot: </w:t>
      </w:r>
      <w:r>
        <w:rPr>
          <w:rFonts w:ascii="Calibri" w:cs="Calibri" w:eastAsia="Calibri" w:hAnsi="Calibri"/>
          <w:sz w:val="20"/>
          <w:szCs w:val="20"/>
        </w:rPr>
        <w:t xml:space="preserve">the pre-2016 distribution sits around 1.0–1.2 million with a fairly wide spread, while the 2016-onward distribution collapses to roughly 0.1–0.3 million with one high outlier — a visibly large level shift right at the point the National Framework for Malaria Elimination was launched, which is what the accompanying t-test is designed to confirm formally rather than just visually.</w:t>
      </w:r>
    </w:p>
    <w:p>
      <w:pPr>
        <w:pStyle w:val="ListParagraph"/>
        <w:numPr>
          <w:ilvl w:val="0"/>
          <w:numId w:val="2"/>
        </w:numPr>
        <w:spacing w:after="40"/>
      </w:pPr>
      <w:r>
        <w:rPr>
          <w:rFonts w:ascii="Calibri" w:cs="Calibri" w:eastAsia="Calibri" w:hAnsi="Calibri"/>
          <w:b/>
          <w:bCs/>
          <w:sz w:val="20"/>
          <w:szCs w:val="20"/>
        </w:rPr>
        <w:t xml:space="preserve">Improved (declining) vs. still-high-burden districts: </w:t>
      </w:r>
      <w:r>
        <w:rPr>
          <w:rFonts w:ascii="Calibri" w:cs="Calibri" w:eastAsia="Calibri" w:hAnsi="Calibri"/>
          <w:sz w:val="20"/>
          <w:szCs w:val="20"/>
        </w:rPr>
        <w:t xml:space="preserve">of the districts flagged, the "still high burden" group dominates the chart — West Singhbhum, Dhalai, Lawngtlai, Lunglei, Godda, Mamit, Pakur, Murshidabad, Hardoi, Howrah, and the 24 Parganas districts all show high 2022–2024 mean case counts with little recent improvement, while very few districts (Upper Subansiri, Karbi Anglong, and similar) appear in the "improved" category at comparable case volumes. This is arguably the most policy-relevant chart in the analysis: it shows the national decline is not uniform — a fairly small set of districts, concentrated in the Northeast (Tripura, Mizoram), eastern West Bengal, and the Jharkhand belt, still carry a disproportionate and largely un-declining share of the remaining burden, which is precisely the profile of the 159 districts IMEP-3 is designed to target.</w:t>
      </w:r>
    </w:p>
    <w:p>
      <w:pPr>
        <w:pStyle w:val="ListParagraph"/>
        <w:numPr>
          <w:ilvl w:val="0"/>
          <w:numId w:val="2"/>
        </w:numPr>
        <w:spacing w:after="40"/>
      </w:pPr>
      <w:r>
        <w:rPr>
          <w:rFonts w:ascii="Calibri" w:cs="Calibri" w:eastAsia="Calibri" w:hAnsi="Calibri"/>
          <w:b/>
          <w:bCs/>
          <w:sz w:val="20"/>
          <w:szCs w:val="20"/>
        </w:rPr>
        <w:t xml:space="preserve">Environmental profile, low vs. high burden districts: </w:t>
      </w:r>
      <w:r>
        <w:rPr>
          <w:rFonts w:ascii="Calibri" w:cs="Calibri" w:eastAsia="Calibri" w:hAnsi="Calibri"/>
          <w:sz w:val="20"/>
          <w:szCs w:val="20"/>
        </w:rPr>
        <w:t xml:space="preserve">elevation is lower and less variable in high-burden districts than in low-burden ones (malaria transmission requires warm low-to-mid elevation); water occurrence rises from low- to high-burden groups (more standing/surface water, more breeding habitat); NDVI is broadly similar across groups with a mild decline from low to high burden — a weaker signal than expected, most likely because a single 2024 vegetation snapshot cannot capture 24 years of case history well.</w:t>
      </w:r>
    </w:p>
    <w:p>
      <w:pPr>
        <w:pStyle w:val="ListParagraph"/>
        <w:numPr>
          <w:ilvl w:val="0"/>
          <w:numId w:val="2"/>
        </w:numPr>
        <w:spacing w:after="40"/>
      </w:pPr>
      <w:r>
        <w:rPr>
          <w:rFonts w:ascii="Calibri" w:cs="Calibri" w:eastAsia="Calibri" w:hAnsi="Calibri"/>
          <w:b/>
          <w:bCs/>
          <w:sz w:val="20"/>
          <w:szCs w:val="20"/>
        </w:rPr>
        <w:t xml:space="preserve">Case study — Bhilwara vs. Narayanpet: </w:t>
      </w:r>
      <w:r>
        <w:rPr>
          <w:rFonts w:ascii="Calibri" w:cs="Calibri" w:eastAsia="Calibri" w:hAnsi="Calibri"/>
          <w:sz w:val="20"/>
          <w:szCs w:val="20"/>
        </w:rPr>
        <w:t xml:space="preserve">these two districts were matched because they have near-identical environmental profiles (elevation, water occurrence, NDVI) but very different case trajectories — Bhilwara peaked near 8,000 cases in the early 2000s before declining steeply to near zero, while Narayanpet stayed low throughout. Since the environment is held roughly constant, the gap is attributable to non-environmental factors — historical intervention intensity, healthcare access, or reporting practices — which is exactly the kind of finding a purely environmental model would miss.</w:t>
      </w:r>
    </w:p>
    <w:p>
      <w:pPr>
        <w:pStyle w:val="ListParagraph"/>
        <w:numPr>
          <w:ilvl w:val="0"/>
          <w:numId w:val="2"/>
        </w:numPr>
        <w:spacing w:after="40"/>
      </w:pPr>
      <w:r>
        <w:rPr>
          <w:rFonts w:ascii="Calibri" w:cs="Calibri" w:eastAsia="Calibri" w:hAnsi="Calibri"/>
          <w:b/>
          <w:bCs/>
          <w:sz w:val="20"/>
          <w:szCs w:val="20"/>
        </w:rPr>
        <w:t xml:space="preserve">Correlation — district cases vs. environmental drivers: </w:t>
      </w:r>
      <w:r>
        <w:rPr>
          <w:rFonts w:ascii="Calibri" w:cs="Calibri" w:eastAsia="Calibri" w:hAnsi="Calibri"/>
          <w:sz w:val="20"/>
          <w:szCs w:val="20"/>
        </w:rPr>
        <w:t xml:space="preserve">at the aggregate level the correlations are weak (elevation −0.04, water occurrence 0.12, NDVI −0.02 against total_cases). This is expected, not a failure: a single static 2024 snapshot is being correlated against 24 years of case history, and the true within-district relationship (captured properly by the model's lag/trend features) is diluted when everything is pooled into one cross-sectional correlation.</w:t>
      </w:r>
    </w:p>
    <w:p>
      <w:pPr>
        <w:pStyle w:val="ListParagraph"/>
        <w:numPr>
          <w:ilvl w:val="0"/>
          <w:numId w:val="2"/>
        </w:numPr>
        <w:spacing w:after="40"/>
      </w:pPr>
      <w:r>
        <w:rPr>
          <w:rFonts w:ascii="Calibri" w:cs="Calibri" w:eastAsia="Calibri" w:hAnsi="Calibri"/>
          <w:b/>
          <w:bCs/>
          <w:sz w:val="20"/>
          <w:szCs w:val="20"/>
        </w:rPr>
        <w:t xml:space="preserve">Correlation — state cases vs. socio-economic ranks: </w:t>
      </w:r>
      <w:r>
        <w:rPr>
          <w:rFonts w:ascii="Calibri" w:cs="Calibri" w:eastAsia="Calibri" w:hAnsi="Calibri"/>
          <w:sz w:val="20"/>
          <w:szCs w:val="20"/>
        </w:rPr>
        <w:t xml:space="preserve">rural tele-density rank (0.42), per-capita NSDP rank (0.31) and IMR rank (0.29) show the strongest positive correlations with positive_cases, while latrine-facility rank (−0.43) shows the strongest negative correlation. Because these are rank variables (a lower rank number generally means a better outcome for that indicator), the signs need to be read carefully — the practical reading is that states with poorer sanitation infrastructure and higher infant mortality tend to also carry a higher malaria burden, consistent with malaria being concentrated in the same structurally under-resourced states rather than being an isolated public-health issue.</w:t>
      </w:r>
    </w:p>
    <w:p>
      <w:pPr>
        <w:pStyle w:val="Heading1"/>
        <w:spacing w:after="100" w:before="220"/>
      </w:pPr>
      <w:r>
        <w:rPr>
          <w:rFonts w:ascii="Calibri" w:cs="Calibri" w:eastAsia="Calibri" w:hAnsi="Calibri"/>
          <w:b/>
          <w:bCs/>
          <w:color w:val="1F4E37"/>
        </w:rPr>
        <w:t xml:space="preserve">6. Forecasting Models and Results</w:t>
      </w:r>
    </w:p>
    <w:p>
      <w:pPr>
        <w:spacing w:after="90"/>
      </w:pPr>
      <w:r>
        <w:rPr>
          <w:rFonts w:ascii="Calibri" w:cs="Calibri" w:eastAsia="Calibri" w:hAnsi="Calibri"/>
          <w:sz w:val="20"/>
          <w:szCs w:val="20"/>
        </w:rPr>
        <w:t xml:space="preserve">Three models were built and evaluated against each other and against a naive last-year-value baseline, using MAE, RMSE and MAPE.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200"/>
        <w:gridCol w:w="1200"/>
        <w:gridCol w:w="1200"/>
      </w:tblGrid>
      <w:tr>
        <w:trPr>
          <w:tblHeader/>
        </w:trPr>
        <w:tc>
          <w:tcPr>
            <w:tcW w:type="dxa" w:w="3000"/>
            <w:shd w:fill="1F4E37"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Model</w:t>
            </w:r>
          </w:p>
        </w:tc>
        <w:tc>
          <w:tcPr>
            <w:tcW w:type="dxa" w:w="2400"/>
            <w:shd w:fill="1F4E37"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Scale / Group</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MAE</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RMSE</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MAPE %</w:t>
            </w:r>
          </w:p>
        </w:tc>
      </w:tr>
      <w:tr>
        <w:tc>
          <w:tcPr>
            <w:tcW w:type="dxa" w:w="3000"/>
            <w:tcMar>
              <w:top w:type="dxa" w:w="60"/>
              <w:left w:type="dxa" w:w="100"/>
              <w:bottom w:type="dxa" w:w="60"/>
              <w:right w:type="dxa" w:w="100"/>
            </w:tcMar>
          </w:tcPr>
          <w:p>
            <w:pPr>
              <w:jc w:val="left"/>
            </w:pPr>
            <w:r>
              <w:rPr>
                <w:rFonts w:ascii="Calibri" w:cs="Calibri" w:eastAsia="Calibri" w:hAnsi="Calibri"/>
                <w:b/>
                <w:bCs/>
                <w:color w:val="000000"/>
                <w:sz w:val="17"/>
                <w:szCs w:val="17"/>
              </w:rPr>
              <w:t xml:space="preserve">District — GradientBoosting</w:t>
            </w:r>
          </w:p>
        </w:tc>
        <w:tc>
          <w:tcPr>
            <w:tcW w:type="dxa" w:w="2400"/>
            <w:tcMar>
              <w:top w:type="dxa" w:w="60"/>
              <w:left w:type="dxa" w:w="100"/>
              <w:bottom w:type="dxa" w:w="60"/>
              <w:right w:type="dxa" w:w="100"/>
            </w:tcMar>
          </w:tcPr>
          <w:p>
            <w:pPr>
              <w:jc w:val="left"/>
            </w:pPr>
            <w:r>
              <w:rPr>
                <w:rFonts w:ascii="Calibri" w:cs="Calibri" w:eastAsia="Calibri" w:hAnsi="Calibri"/>
                <w:b/>
                <w:bCs/>
                <w:color w:val="000000"/>
                <w:sz w:val="17"/>
                <w:szCs w:val="17"/>
              </w:rPr>
              <w:t xml:space="preserve">District, 2024 test</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183.8</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941.2</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983.4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District — Naive (last year)</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District, 2024 test</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260.5</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1,294.7</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1,429.9</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 — GBM (LOYO CV mean)</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 CV mean</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2,265.1</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5,273.3</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w:t>
            </w:r>
          </w:p>
        </w:tc>
      </w:tr>
      <w:tr>
        <w:tc>
          <w:tcPr>
            <w:tcW w:type="dxa" w:w="3000"/>
            <w:tcMar>
              <w:top w:type="dxa" w:w="60"/>
              <w:left w:type="dxa" w:w="100"/>
              <w:bottom w:type="dxa" w:w="60"/>
              <w:right w:type="dxa" w:w="100"/>
            </w:tcMar>
          </w:tcPr>
          <w:p>
            <w:pPr>
              <w:jc w:val="left"/>
            </w:pPr>
            <w:r>
              <w:rPr>
                <w:rFonts w:ascii="Calibri" w:cs="Calibri" w:eastAsia="Calibri" w:hAnsi="Calibri"/>
                <w:b/>
                <w:bCs/>
                <w:color w:val="000000"/>
                <w:sz w:val="17"/>
                <w:szCs w:val="17"/>
              </w:rPr>
              <w:t xml:space="preserve">Combined — Stacked/weighted blend</w:t>
            </w:r>
          </w:p>
        </w:tc>
        <w:tc>
          <w:tcPr>
            <w:tcW w:type="dxa" w:w="2400"/>
            <w:tcMar>
              <w:top w:type="dxa" w:w="60"/>
              <w:left w:type="dxa" w:w="100"/>
              <w:bottom w:type="dxa" w:w="60"/>
              <w:right w:type="dxa" w:w="100"/>
            </w:tcMar>
          </w:tcPr>
          <w:p>
            <w:pPr>
              <w:jc w:val="left"/>
            </w:pPr>
            <w:r>
              <w:rPr>
                <w:rFonts w:ascii="Calibri" w:cs="Calibri" w:eastAsia="Calibri" w:hAnsi="Calibri"/>
                <w:b/>
                <w:bCs/>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2,201.9</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4,343.2</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640.5</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Top-down — State model (direct)</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3,214.8</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7,960.4</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169.7</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Combined — Simple average</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3,237.0</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7,717.3</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101.4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Bottom-up — District model (aggregated)</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3,386.4</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7,599.8</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50.4</w:t>
            </w:r>
          </w:p>
        </w:tc>
      </w:tr>
    </w:tbl>
    <w:p>
      <w:pPr>
        <w:spacing w:after="90" w:before="100"/>
      </w:pPr>
      <w:r>
        <w:rPr>
          <w:rFonts w:ascii="Calibri" w:cs="Calibri" w:eastAsia="Calibri" w:hAnsi="Calibri"/>
          <w:sz w:val="20"/>
          <w:szCs w:val="20"/>
        </w:rPr>
        <w:t xml:space="preserve"/>
      </w:r>
    </w:p>
    <w:p>
      <w:pPr>
        <w:spacing w:after="60" w:before="140"/>
      </w:pPr>
      <w:r>
        <w:rPr>
          <w:rFonts w:ascii="Calibri" w:cs="Calibri" w:eastAsia="Calibri" w:hAnsi="Calibri"/>
          <w:b/>
          <w:bCs/>
          <w:color w:val="2E6B4F"/>
          <w:sz w:val="21"/>
          <w:szCs w:val="21"/>
        </w:rPr>
        <w:t xml:space="preserve">6.1 District model — beats the naive baseline</w:t>
      </w:r>
    </w:p>
    <w:p>
      <w:pPr>
        <w:spacing w:after="90"/>
      </w:pPr>
      <w:r>
        <w:rPr>
          <w:rFonts w:ascii="Calibri" w:cs="Calibri" w:eastAsia="Calibri" w:hAnsi="Calibri"/>
          <w:sz w:val="20"/>
          <w:szCs w:val="20"/>
        </w:rPr>
        <w:t xml:space="preserve">The Gradient Boosting model (log1p-transformed target, trained through 2023 and tested on 2024) reduced MAE by 29.4% and RMSE by 27.3% relative to simply predicting last year's case count. This is the cleanest evidence in the whole analysis that the engineered lag/rolling/trend/environmental features carry real predictive signal beyond persistence — the model is not just "predicting last year again with extra steps."</w:t>
      </w:r>
    </w:p>
    <w:p>
      <w:pPr>
        <w:spacing w:after="60" w:before="140"/>
      </w:pPr>
      <w:r>
        <w:rPr>
          <w:rFonts w:ascii="Calibri" w:cs="Calibri" w:eastAsia="Calibri" w:hAnsi="Calibri"/>
          <w:b/>
          <w:bCs/>
          <w:color w:val="2E6B4F"/>
          <w:sz w:val="21"/>
          <w:szCs w:val="21"/>
        </w:rPr>
        <w:t xml:space="preserve">6.2 Why MAPE is so large</w:t>
      </w:r>
    </w:p>
    <w:p>
      <w:pPr>
        <w:spacing w:after="90"/>
      </w:pPr>
      <w:r>
        <w:rPr>
          <w:rFonts w:ascii="Calibri" w:cs="Calibri" w:eastAsia="Calibri" w:hAnsi="Calibri"/>
          <w:sz w:val="20"/>
          <w:szCs w:val="20"/>
        </w:rPr>
        <w:t xml:space="preserve">Both district-level MAPE figures (983% for the model, 1,430% for naive) look alarming next to the MAE/RMSE columns, but this is a known artefact of MAPE on near-zero targets rather than a sign the model is unusable: by 2024, a large number of districts have genuinely declined to single-digit or zero case counts (visible directly in the national trend chart), and MAPE divides by the actual value — a district going from 2 cases to 8 is only a 6-case error (small MAE contribution) but a 300% error. MAE and RMSE, which are reported in absolute cases, are the more trustworthy metrics here and both clearly favour the model over the naive baseline.</w:t>
      </w:r>
    </w:p>
    <w:p>
      <w:pPr>
        <w:spacing w:after="60" w:before="140"/>
      </w:pPr>
      <w:r>
        <w:rPr>
          <w:rFonts w:ascii="Calibri" w:cs="Calibri" w:eastAsia="Calibri" w:hAnsi="Calibri"/>
          <w:b/>
          <w:bCs/>
          <w:color w:val="2E6B4F"/>
          <w:sz w:val="21"/>
          <w:szCs w:val="21"/>
        </w:rPr>
        <w:t xml:space="preserve">6.3 State model — small-sample caution</w:t>
      </w:r>
    </w:p>
    <w:p>
      <w:pPr>
        <w:spacing w:after="90"/>
      </w:pPr>
      <w:r>
        <w:rPr>
          <w:rFonts w:ascii="Calibri" w:cs="Calibri" w:eastAsia="Calibri" w:hAnsi="Calibri"/>
          <w:sz w:val="20"/>
          <w:szCs w:val="20"/>
        </w:rPr>
        <w:t xml:space="preserve">The state-level model was evaluated with leave-one-year-out cross-validation because only four full years of state-wise data are available. A mean CV MAE of ~2,265 cases is reported honestly as indicative rather than robust — with only 3–4 states-years per fold, a single unusual state-year can move the fold's error substantially, so this number should not be quoted with the same confidence as the district-level test-set result.</w:t>
      </w:r>
    </w:p>
    <w:p>
      <w:pPr>
        <w:spacing w:after="60" w:before="140"/>
      </w:pPr>
      <w:r>
        <w:rPr>
          <w:rFonts w:ascii="Calibri" w:cs="Calibri" w:eastAsia="Calibri" w:hAnsi="Calibri"/>
          <w:b/>
          <w:bCs/>
          <w:color w:val="2E6B4F"/>
          <w:sz w:val="21"/>
          <w:szCs w:val="21"/>
        </w:rPr>
        <w:t xml:space="preserve">6.4 Hierarchical reconciliation — the combined model wins</w:t>
      </w:r>
    </w:p>
    <w:p>
      <w:pPr>
        <w:spacing w:after="90"/>
      </w:pPr>
      <w:r>
        <w:rPr>
          <w:rFonts w:ascii="Calibri" w:cs="Calibri" w:eastAsia="Calibri" w:hAnsi="Calibri"/>
          <w:sz w:val="20"/>
          <w:szCs w:val="20"/>
        </w:rPr>
        <w:t xml:space="preserve">Aggregating the district model's predictions up to state totals ("bottom-up") and comparing them against the state model's own direct prediction ("top-down") for the same state-years shows the two disagree substantially — bottom-up alone actually performs worst on MAE/RMSE among the combined-model comparisons (3,386 / 7,600), while top-down and a simple average sit in between. The learned stacked blend of the two, however, achieves the best MAE and RMSE of all the state-scale approaches — 2,201.9 MAE and 4,343.2 RMSE — a 2.8% MAE and 17.6% RMSE improvement over the state model used alone. This is the key modelling result: forecast reconciliation adds value here, meaning the district-level and state-level signals are complementary rather than redundant, even though the district file's total_cases and the state file's positive_cases come from different reports and are not perfectly comparable in scale.</w:t>
      </w:r>
    </w:p>
    <w:p>
      <w:pPr>
        <w:spacing w:after="90"/>
      </w:pPr>
      <w:r>
        <w:rPr>
          <w:rFonts w:ascii="Calibri" w:cs="Calibri" w:eastAsia="Calibri" w:hAnsi="Calibri"/>
          <w:sz w:val="20"/>
          <w:szCs w:val="20"/>
        </w:rPr>
        <w:t xml:space="preserve">One caveat worth flagging on the same result: bottom-up has the lowest MAPE (50.4%) of the three individual/blend approaches despite the highest MAE/RMSE, meaning its errors are more consistent in relative terms even though larger in absolute terms — a useful sanity check that a single metric should not be read in isolation.</w:t>
      </w:r>
    </w:p>
    <w:p>
      <w:r>
        <w:br w:type="page"/>
      </w:r>
    </w:p>
    <w:p>
      <w:pPr>
        <w:pStyle w:val="Heading1"/>
        <w:spacing w:after="100" w:before="220"/>
      </w:pPr>
      <w:r>
        <w:rPr>
          <w:rFonts w:ascii="Calibri" w:cs="Calibri" w:eastAsia="Calibri" w:hAnsi="Calibri"/>
          <w:b/>
          <w:bCs/>
          <w:color w:val="1F4E37"/>
        </w:rPr>
        <w:t xml:space="preserve">7. Government Action and How the Analysis Connects to It</w:t>
      </w:r>
    </w:p>
    <w:p>
      <w:pPr>
        <w:spacing w:after="90"/>
      </w:pPr>
      <w:r>
        <w:rPr>
          <w:rFonts w:ascii="Calibri" w:cs="Calibri" w:eastAsia="Calibri" w:hAnsi="Calibri"/>
          <w:sz w:val="20"/>
          <w:szCs w:val="20"/>
        </w:rPr>
        <w:t xml:space="preserve">India's control effort is centred on the National Framework for Malaria Elimination (NFME, 2016–2030), which stratifies states into intensified-control, pre-elimination, elimination and prevention-of-re-establishment categories, and the National Strategic Plan for Malaria Elimination 2023–2027, which layers on real-time surveillance through the Integrated Health Information Platform, a 'test-treat-track' case protocol, Integrated Vector Management, and targeted LLIN (bed-net) distribution. The Intensified Malaria Elimination Project (IMEP-3) currently focuses on 159 high-burden districts across 12 states. Reported annual cases have fallen from roughly 7.5 crore at independence to about 20 lakh by 2023, and India exited the WHO's High Burden to High Impact group in 2024.</w:t>
      </w:r>
    </w:p>
    <w:p>
      <w:pPr>
        <w:spacing w:after="90"/>
      </w:pPr>
      <w:r>
        <w:rPr>
          <w:rFonts w:ascii="Calibri" w:cs="Calibri" w:eastAsia="Calibri" w:hAnsi="Calibri"/>
          <w:sz w:val="20"/>
          <w:szCs w:val="20"/>
        </w:rPr>
        <w:t xml:space="preserve">My analysis is a natural companion to this programme structure: the pre/post-2016 comparison directly tests whether the NFME's launch coincides with a measurable shift in the national trend; the district trend-classification ('improved' vs. 'still high burden') mirrors the NFME's own category system and lines up closely with the districts IMEP-3 already targets; and the forecasting layer — particularly the reconciled district+state combined forecast — offers an early-warning signal that complements IHIP's real-time reporting rather than replacing it, which matters most in the remote, forested districts that both this analysis and the national programme identify as still carrying the bulk of the burden.</w:t>
      </w:r>
    </w:p>
    <w:p>
      <w:pPr>
        <w:pStyle w:val="Heading1"/>
        <w:spacing w:after="100" w:before="220"/>
      </w:pPr>
      <w:r>
        <w:rPr>
          <w:rFonts w:ascii="Calibri" w:cs="Calibri" w:eastAsia="Calibri" w:hAnsi="Calibri"/>
          <w:b/>
          <w:bCs/>
          <w:color w:val="1F4E37"/>
        </w:rPr>
        <w:t xml:space="preserve">8. Link to Malaria's Lifecycle — Why These Features Were Chosen</w:t>
      </w:r>
    </w:p>
    <w:p>
      <w:pPr>
        <w:spacing w:after="90"/>
      </w:pPr>
      <w:r>
        <w:rPr>
          <w:rFonts w:ascii="Calibri" w:cs="Calibri" w:eastAsia="Calibri" w:hAnsi="Calibri"/>
          <w:sz w:val="20"/>
          <w:szCs w:val="20"/>
        </w:rPr>
        <w:t xml:space="preserve">Malaria transmission is a two-host cycle: Plasmodium parasites develop inside an Anopheles mosquito (sporogonic cycle, temperature- and humidity-dependent, roughly 10–18 days) before being transmitted to a human via bite, followed by the parasite's liver and blood stages in the human host. This biology is why the environmental features carry predictive signal: standing/slow-moving water (JRC water-occurrence) is the mosquito's larval breeding habitat; vegetation cover and humidity (NDVI) sustain adult mosquito survival long enough to complete the sporogonic cycle; and elevation constrains temperature, gating whether the parasite can complete development in the vector at all — this is why high-altitude districts are structurally low-risk regardless of other conditions, and it is exactly the pattern the low-vs-high-burden elevation boxplot shows. The lag and rolling-average case features implicitly capture the human–mosquito–human transmission cycle's persistence: a district with sustained transmission in prior years has an established local vector population and parasite reservoir, making it more likely to sustain transmission going forward, whereas a sharp environmental or programmatic change (post-monsoon water recession, an LLIN campaign) can break that cycle — which is exactly what the trend-slope feature and the improved-vs-needs-action classification are built to detect.</w:t>
      </w:r>
    </w:p>
    <w:p>
      <w:pPr>
        <w:pStyle w:val="Heading1"/>
        <w:spacing w:after="100" w:before="220"/>
      </w:pPr>
      <w:r>
        <w:rPr>
          <w:rFonts w:ascii="Calibri" w:cs="Calibri" w:eastAsia="Calibri" w:hAnsi="Calibri"/>
          <w:b/>
          <w:bCs/>
          <w:color w:val="1F4E37"/>
        </w:rPr>
        <w:t xml:space="preserve">9. Limitations and Assumptions</w:t>
      </w:r>
    </w:p>
    <w:p>
      <w:pPr>
        <w:pStyle w:val="ListParagraph"/>
        <w:numPr>
          <w:ilvl w:val="0"/>
          <w:numId w:val="2"/>
        </w:numPr>
        <w:spacing w:after="40"/>
      </w:pPr>
      <w:r>
        <w:rPr>
          <w:rFonts w:ascii="Calibri" w:cs="Calibri" w:eastAsia="Calibri" w:hAnsi="Calibri"/>
          <w:sz w:val="20"/>
          <w:szCs w:val="20"/>
        </w:rPr>
        <w:t xml:space="preserve">Case counts are passively reported (health-facility detected), not true incidence; the model predicts reported burden, not underlying transmission.</w:t>
      </w:r>
    </w:p>
    <w:p>
      <w:pPr>
        <w:pStyle w:val="ListParagraph"/>
        <w:numPr>
          <w:ilvl w:val="0"/>
          <w:numId w:val="2"/>
        </w:numPr>
        <w:spacing w:after="40"/>
      </w:pPr>
      <w:r>
        <w:rPr>
          <w:rFonts w:ascii="Calibri" w:cs="Calibri" w:eastAsia="Calibri" w:hAnsi="Calibri"/>
          <w:sz w:val="20"/>
          <w:szCs w:val="20"/>
        </w:rPr>
        <w:t xml:space="preserve">Environmental covariates are single-year/static snapshots (2024) applied across a 24-year case series — they describe typical district ecology, not year-specific conditions, which likely explains the weak raw environmental correlations in Section 5.</w:t>
      </w:r>
    </w:p>
    <w:p>
      <w:pPr>
        <w:pStyle w:val="ListParagraph"/>
        <w:numPr>
          <w:ilvl w:val="0"/>
          <w:numId w:val="2"/>
        </w:numPr>
        <w:spacing w:after="40"/>
      </w:pPr>
      <w:r>
        <w:rPr>
          <w:rFonts w:ascii="Calibri" w:cs="Calibri" w:eastAsia="Calibri" w:hAnsi="Calibri"/>
          <w:sz w:val="20"/>
          <w:szCs w:val="20"/>
        </w:rPr>
        <w:t xml:space="preserve">The state-level model has only 4 full years of data, so its cross-validated metrics are indicative rather than robust.</w:t>
      </w:r>
    </w:p>
    <w:p>
      <w:pPr>
        <w:pStyle w:val="ListParagraph"/>
        <w:numPr>
          <w:ilvl w:val="0"/>
          <w:numId w:val="2"/>
        </w:numPr>
        <w:spacing w:after="40"/>
      </w:pPr>
      <w:r>
        <w:rPr>
          <w:rFonts w:ascii="Calibri" w:cs="Calibri" w:eastAsia="Calibri" w:hAnsi="Calibri"/>
          <w:sz w:val="20"/>
          <w:szCs w:val="20"/>
        </w:rPr>
        <w:t xml:space="preserve">MAPE is unstable and should be read alongside MAE/RMSE wherever recent case counts approach zero, as in the district test set.</w:t>
      </w:r>
    </w:p>
    <w:p>
      <w:pPr>
        <w:pStyle w:val="ListParagraph"/>
        <w:numPr>
          <w:ilvl w:val="0"/>
          <w:numId w:val="2"/>
        </w:numPr>
        <w:spacing w:after="40"/>
      </w:pPr>
      <w:r>
        <w:rPr>
          <w:rFonts w:ascii="Calibri" w:cs="Calibri" w:eastAsia="Calibri" w:hAnsi="Calibri"/>
          <w:sz w:val="20"/>
          <w:szCs w:val="20"/>
        </w:rPr>
        <w:t xml:space="preserve">Google Mobility and finer-grained socio-economic data were considered but not fully integrated in this version — a natural next step for capturing human-movement-driven spread.</w:t>
      </w:r>
    </w:p>
    <w:p>
      <w:pPr>
        <w:pStyle w:val="Heading1"/>
        <w:spacing w:after="100" w:before="220"/>
      </w:pPr>
      <w:r>
        <w:rPr>
          <w:rFonts w:ascii="Calibri" w:cs="Calibri" w:eastAsia="Calibri" w:hAnsi="Calibri"/>
          <w:b/>
          <w:bCs/>
          <w:color w:val="1F4E37"/>
        </w:rPr>
        <w:t xml:space="preserve">10. Conclusion</w:t>
      </w:r>
    </w:p>
    <w:p>
      <w:pPr>
        <w:spacing w:after="90"/>
      </w:pPr>
      <w:r>
        <w:rPr>
          <w:rFonts w:ascii="Calibri" w:cs="Calibri" w:eastAsia="Calibri" w:hAnsi="Calibri"/>
          <w:sz w:val="20"/>
          <w:szCs w:val="20"/>
        </w:rPr>
        <w:t xml:space="preserve">The pipeline demonstrates a reproducible path from raw, heterogeneous public-health data — including a scanned PDF report — to a leakage-checked, two-scale forecasting model with an explicit, honestly-reported evaluation against naive baselines. The district-level model beats the naive baseline by ~29% on MAE, and the hierarchical reconciliation between district and state forecasts further improves on either model alone, showing the two data sources are complementary. Framing these results around India's actual elimination milestones and the underlying vector biology grounds the analysis in a real decision context — identifying where the national programme's interventions appear to be working, where burden is not budging, and where a forecast could give NVBDCP/NCVBDC useful lead time ahead of the 2027 zero-indigenous-transmission target.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2026-08-03T03:10:49.174Z</dcterms:created>
  <dcterms:modified xsi:type="dcterms:W3CDTF">2026-08-03T03:10:49.206Z</dcterms:modified>
</cp:coreProperties>
</file>

<file path=docProps/custom.xml><?xml version="1.0" encoding="utf-8"?>
<Properties xmlns="http://schemas.openxmlformats.org/officeDocument/2006/custom-properties" xmlns:vt="http://schemas.openxmlformats.org/officeDocument/2006/docPropsVTypes"/>
</file>