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24"/>
          <w:szCs w:val="24"/>
          <w:b/>
          <w:bCs/>
        </w:rPr>
        <w:t xml:space="preserve">Q4 2024 Business Performance Report</w:t>
      </w:r>
    </w:p>
    <w:p w14:paraId="00000002">
      <w:pPr>
        <w:rPr/>
      </w:pPr>
      <w:r>
        <w:rPr>
          <w:sz w:val="18"/>
          <w:szCs w:val="18"/>
          <w:b/>
          <w:bCs/>
        </w:rPr>
        <w:t xml:space="preserve">Executive Summary</w:t>
      </w:r>
    </w:p>
    <w:p w14:paraId="00000003">
      <w:pPr>
        <w:rPr/>
      </w:pPr>
      <w:r>
        <w:rPr/>
        <w:t xml:space="preserve">TechCorp Inc. delivered exceptional results in Q4 2024, achieving record revenue of $2.1M and expanding our customer base by 34%. Key highlights include successful product launches, strategic partnerships, and improved operational efficiency.</w:t>
      </w:r>
    </w:p>
    <w:p w14:paraId="00000004">
      <w:pPr>
        <w:rPr/>
      </w:pPr>
      <w:r>
        <w:rPr>
          <w:sz w:val="16"/>
          <w:szCs w:val="16"/>
          <w:b/>
          <w:bCs/>
        </w:rPr>
        <w:t xml:space="preserve">Key Performance Indicators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/>
          <w:p w14:paraId="00000005">
            <w:pPr>
              <w:rPr/>
            </w:pPr>
            <w:r>
              <w:rPr>
                <w:b/>
                <w:bCs/>
              </w:rPr>
              <w:t xml:space="preserve">Metric</w:t>
            </w:r>
          </w:p>
        </w:tc>
        <w:tc>
          <w:tcPr/>
          <w:p w14:paraId="00000006">
            <w:pPr>
              <w:rPr/>
            </w:pPr>
            <w:r>
              <w:rPr>
                <w:b/>
                <w:bCs/>
              </w:rPr>
              <w:t xml:space="preserve">Q4 2024</w:t>
            </w:r>
          </w:p>
        </w:tc>
        <w:tc>
          <w:tcPr/>
          <w:p w14:paraId="00000007">
            <w:pPr>
              <w:rPr/>
            </w:pPr>
            <w:r>
              <w:rPr>
                <w:b/>
                <w:bCs/>
              </w:rPr>
              <w:t xml:space="preserve">Q3 2024</w:t>
            </w:r>
          </w:p>
        </w:tc>
        <w:tc>
          <w:tcPr/>
          <w:p w14:paraId="00000008">
            <w:pPr>
              <w:rPr/>
            </w:pPr>
            <w:r>
              <w:rPr>
                <w:b/>
                <w:bCs/>
              </w:rPr>
              <w:t xml:space="preserve">Change</w:t>
            </w:r>
          </w:p>
        </w:tc>
      </w:tr>
      <w:tr>
        <w:trPr/>
        <w:tc>
          <w:tcPr/>
          <w:p w14:paraId="00000009">
            <w:pPr>
              <w:rPr/>
            </w:pPr>
            <w:r>
              <w:rPr/>
              <w:t xml:space="preserve">Revenue</w:t>
            </w:r>
          </w:p>
        </w:tc>
        <w:tc>
          <w:tcPr/>
          <w:p w14:paraId="0000000a">
            <w:pPr>
              <w:rPr/>
            </w:pPr>
            <w:r>
              <w:rPr/>
              <w:t xml:space="preserve">$2,100,000</w:t>
            </w:r>
          </w:p>
        </w:tc>
        <w:tc>
          <w:tcPr/>
          <w:p w14:paraId="0000000b">
            <w:pPr>
              <w:rPr/>
            </w:pPr>
            <w:r>
              <w:rPr/>
              <w:t xml:space="preserve">$1,750,000</w:t>
            </w:r>
          </w:p>
        </w:tc>
        <w:tc>
          <w:tcPr/>
          <w:p w14:paraId="0000000c">
            <w:pPr>
              <w:rPr/>
            </w:pPr>
            <w:r>
              <w:rPr/>
              <w:t xml:space="preserve">+20%</w:t>
            </w:r>
          </w:p>
        </w:tc>
      </w:tr>
      <w:tr>
        <w:trPr/>
        <w:tc>
          <w:tcPr/>
          <w:p w14:paraId="0000000d">
            <w:pPr>
              <w:rPr/>
            </w:pPr>
            <w:r>
              <w:rPr/>
              <w:t xml:space="preserve">Net Profit</w:t>
            </w:r>
          </w:p>
        </w:tc>
        <w:tc>
          <w:tcPr/>
          <w:p w14:paraId="0000000e">
            <w:pPr>
              <w:rPr/>
            </w:pPr>
            <w:r>
              <w:rPr/>
              <w:t xml:space="preserve">$420,000</w:t>
            </w:r>
          </w:p>
        </w:tc>
        <w:tc>
          <w:tcPr/>
          <w:p w14:paraId="0000000f">
            <w:pPr>
              <w:rPr/>
            </w:pPr>
            <w:r>
              <w:rPr/>
              <w:t xml:space="preserve">$315,000</w:t>
            </w:r>
          </w:p>
        </w:tc>
        <w:tc>
          <w:tcPr/>
          <w:p w14:paraId="00000010">
            <w:pPr>
              <w:rPr/>
            </w:pPr>
            <w:r>
              <w:rPr/>
              <w:t xml:space="preserve">+33%</w:t>
            </w:r>
          </w:p>
        </w:tc>
      </w:tr>
      <w:tr>
        <w:trPr/>
        <w:tc>
          <w:tcPr/>
          <w:p w14:paraId="00000011">
            <w:pPr>
              <w:rPr/>
            </w:pPr>
            <w:r>
              <w:rPr/>
              <w:t xml:space="preserve">Customer Acquisition</w:t>
            </w:r>
          </w:p>
        </w:tc>
        <w:tc>
          <w:tcPr/>
          <w:p w14:paraId="00000012">
            <w:pPr>
              <w:rPr/>
            </w:pPr>
            <w:r>
              <w:rPr/>
              <w:t xml:space="preserve">450</w:t>
            </w:r>
          </w:p>
        </w:tc>
        <w:tc>
          <w:tcPr/>
          <w:p w14:paraId="00000013">
            <w:pPr>
              <w:rPr/>
            </w:pPr>
            <w:r>
              <w:rPr/>
              <w:t xml:space="preserve">335</w:t>
            </w:r>
          </w:p>
        </w:tc>
        <w:tc>
          <w:tcPr/>
          <w:p w14:paraId="00000014">
            <w:pPr>
              <w:rPr/>
            </w:pPr>
            <w:r>
              <w:rPr/>
              <w:t xml:space="preserve">+34%</w:t>
            </w:r>
          </w:p>
        </w:tc>
      </w:tr>
    </w:tbl>
    <w:p w14:paraId="00000015">
      <w:pPr>
        <w:rPr/>
      </w:pPr>
      <w:r>
        <w:rPr>
          <w:sz w:val="18"/>
          <w:szCs w:val="18"/>
          <w:b/>
          <w:bCs/>
        </w:rPr>
        <w:t xml:space="preserve">Financial Performance</w:t>
      </w:r>
    </w:p>
    <w:p w14:paraId="00000016">
      <w:pPr>
        <w:rPr/>
      </w:pPr>
      <w:r>
        <w:rPr>
          <w:sz w:val="16"/>
          <w:szCs w:val="16"/>
          <w:b/>
          <w:bCs/>
        </w:rPr>
        <w:t xml:space="preserve">Revenue Analysis</w:t>
      </w:r>
    </w:p>
    <w:p w14:paraId="00000017">
      <w:pPr>
        <w:rPr/>
      </w:pPr>
      <w:r>
        <w:rPr/>
        <w:t xml:space="preserve">Our revenue growth of 20% quarter-over-quarter demonstrates strong market demand for our products. The primary growth drivers include:</w:t>
      </w:r>
    </w:p>
    <w:p w14:paraId="00000018">
      <w:pPr>
        <w:rPr/>
      </w:pPr>
      <w:r>
        <w:rPr/>
        <w:t xml:space="preserve">• </w:t>
      </w:r>
      <w:r>
        <w:rPr>
          <w:b/>
          <w:bCs/>
        </w:rPr>
        <w:t xml:space="preserve">Enterprise Sales</w:t>
      </w:r>
      <w:r>
        <w:rPr/>
        <w:t xml:space="preserve">: $850,000 (+45% from Q3)</w:t>
      </w:r>
    </w:p>
    <w:p w14:paraId="00000019">
      <w:pPr>
        <w:rPr/>
      </w:pPr>
      <w:r>
        <w:rPr/>
        <w:t xml:space="preserve">• </w:t>
      </w:r>
      <w:r>
        <w:rPr>
          <w:b/>
          <w:bCs/>
        </w:rPr>
        <w:t xml:space="preserve">Subscription Revenue</w:t>
      </w:r>
      <w:r>
        <w:rPr/>
        <w:t xml:space="preserve">: $720,000 (+15% from Q3)</w:t>
      </w:r>
    </w:p>
    <w:p w14:paraId="0000001a">
      <w:pPr>
        <w:rPr/>
      </w:pPr>
      <w:r>
        <w:rPr/>
        <w:t xml:space="preserve">• </w:t>
      </w:r>
      <w:r>
        <w:rPr>
          <w:b/>
          <w:bCs/>
        </w:rPr>
        <w:t xml:space="preserve">Professional Services</w:t>
      </w:r>
      <w:r>
        <w:rPr/>
        <w:t xml:space="preserve">: $380,000 (+8% from Q3)</w:t>
      </w:r>
    </w:p>
    <w:p w14:paraId="0000001b">
      <w:pPr>
        <w:rPr/>
      </w:pPr>
      <w:r>
        <w:rPr/>
        <w:t xml:space="preserve">• </w:t>
      </w:r>
      <w:r>
        <w:rPr>
          <w:b/>
          <w:bCs/>
        </w:rPr>
        <w:t xml:space="preserve">Product Sales</w:t>
      </w:r>
      <w:r>
        <w:rPr/>
        <w:t xml:space="preserve">: $150,000 (-5% from Q3)</w:t>
      </w:r>
    </w:p>
    <w:p w14:paraId="0000001c">
      <w:pPr>
        <w:rPr/>
      </w:pPr>
      <w:r>
        <w:rPr>
          <w:sz w:val="18"/>
          <w:szCs w:val="18"/>
          <w:b/>
          <w:bCs/>
        </w:rPr>
        <w:t xml:space="preserve">Risks and Challenges</w:t>
      </w:r>
    </w:p>
    <w:p w14:paraId="0000001d">
      <w:pPr>
        <w:rPr/>
      </w:pPr>
      <w:r>
        <w:rPr>
          <w:sz w:val="16"/>
          <w:szCs w:val="16"/>
          <w:b/>
          <w:bCs/>
        </w:rPr>
        <w:t xml:space="preserve">Market Risks</w:t>
      </w:r>
    </w:p>
    <w:p w14:paraId="0000001e">
      <w:pPr>
        <w:rPr/>
      </w:pPr>
      <w:r>
        <w:rPr/>
        <w:t xml:space="preserve">• </w:t>
      </w:r>
      <w:r>
        <w:rPr>
          <w:b/>
          <w:bCs/>
        </w:rPr>
        <w:t xml:space="preserve">Increased Competition</w:t>
      </w:r>
      <w:r>
        <w:rPr/>
        <w:t xml:space="preserve">: Three new competitors entered the market</w:t>
      </w:r>
    </w:p>
    <w:p w14:paraId="0000001f">
      <w:pPr>
        <w:rPr/>
      </w:pPr>
      <w:r>
        <w:rPr/>
        <w:t xml:space="preserve">• </w:t>
      </w:r>
      <w:r>
        <w:rPr>
          <w:b/>
          <w:bCs/>
        </w:rPr>
        <w:t xml:space="preserve">Economic Uncertainty</w:t>
      </w:r>
      <w:r>
        <w:rPr/>
        <w:t xml:space="preserve">: Potential recession could impact enterprise spending</w:t>
      </w:r>
    </w:p>
    <w:p w14:paraId="00000020">
      <w:pPr>
        <w:rPr/>
      </w:pPr>
      <w:r>
        <w:rPr/>
        <w:t xml:space="preserve">• </w:t>
      </w:r>
      <w:r>
        <w:rPr>
          <w:b/>
          <w:bCs/>
        </w:rPr>
        <w:t xml:space="preserve">Regulatory Changes</w:t>
      </w:r>
      <w:r>
        <w:rPr/>
        <w:t xml:space="preserve">: New data privacy regulations may require compliance investments</w:t>
      </w:r>
    </w:p>
    <w:p w14:paraId="00000021">
      <w:pPr>
        <w:rPr/>
      </w:pPr>
      <w:r>
        <w:rPr>
          <w:sz w:val="18"/>
          <w:szCs w:val="18"/>
          <w:b/>
          <w:bCs/>
        </w:rPr>
        <w:t xml:space="preserve">Strategic Initiatives</w:t>
      </w:r>
    </w:p>
    <w:p w14:paraId="00000022">
      <w:pPr>
        <w:rPr/>
      </w:pPr>
      <w:r>
        <w:rPr>
          <w:sz w:val="16"/>
          <w:szCs w:val="16"/>
          <w:b/>
          <w:bCs/>
        </w:rPr>
        <w:t xml:space="preserve">2025 Objectives</w:t>
      </w:r>
    </w:p>
    <w:p w14:paraId="00000023">
      <w:pPr>
        <w:rPr/>
      </w:pPr>
      <w:r>
        <w:rPr>
          <w:b/>
          <w:bCs/>
        </w:rPr>
        <w:t xml:space="preserve">Revenue Target</w:t>
      </w:r>
      <w:r>
        <w:rPr/>
        <w:t xml:space="preserve">: $12M (400% growth)</w:t>
      </w:r>
    </w:p>
    <w:p w14:paraId="00000024">
      <w:pPr>
        <w:rPr/>
      </w:pPr>
      <w:r>
        <w:rPr>
          <w:b/>
          <w:bCs/>
        </w:rPr>
        <w:t xml:space="preserve">Market Expansion</w:t>
      </w:r>
      <w:r>
        <w:rPr/>
        <w:t xml:space="preserve">: Enter European and Asian markets</w:t>
      </w:r>
    </w:p>
    <w:p w14:paraId="00000025">
      <w:pPr>
        <w:rPr/>
      </w:pPr>
      <w:r>
        <w:rPr>
          <w:b/>
          <w:bCs/>
        </w:rPr>
        <w:t xml:space="preserve">Product Portfolio</w:t>
      </w:r>
      <w:r>
        <w:rPr/>
        <w:t xml:space="preserve">: Launch 4 new products</w:t>
      </w:r>
    </w:p>
    <w:p w14:paraId="00000026">
      <w:pPr>
        <w:rPr/>
      </w:pPr>
      <w:r>
        <w:rPr>
          <w:b/>
          <w:bCs/>
        </w:rPr>
        <w:t xml:space="preserve">Team Growth</w:t>
      </w:r>
      <w:r>
        <w:rPr/>
        <w:t xml:space="preserve">: Scale to 150 employees</w:t>
      </w:r>
    </w:p>
    <w:p w14:paraId="00000027">
      <w:pPr>
        <w:rPr/>
      </w:pPr>
      <w:r>
        <w:rPr>
          <w:sz w:val="16"/>
          <w:szCs w:val="16"/>
          <w:b/>
          <w:bCs/>
        </w:rPr>
        <w:t xml:space="preserve">Key Action Items</w:t>
      </w:r>
    </w:p>
    <w:p w14:paraId="00000028">
      <w:pPr>
        <w:rPr/>
      </w:pPr>
      <w:r>
        <w:rPr/>
        <w:t xml:space="preserve">• </w:t>
      </w:r>
      <w:r>
        <w:rPr>
          <w:b/>
          <w:bCs/>
        </w:rPr>
        <w:t xml:space="preserve">Q1 2025</w:t>
      </w:r>
      <w:r>
        <w:rPr/>
        <w:t xml:space="preserve">: Complete Series A funding round ($5M target)</w:t>
      </w:r>
    </w:p>
    <w:p w14:paraId="00000029">
      <w:pPr>
        <w:rPr/>
      </w:pPr>
      <w:r>
        <w:rPr/>
        <w:t xml:space="preserve">• </w:t>
      </w:r>
      <w:r>
        <w:rPr>
          <w:b/>
          <w:bCs/>
        </w:rPr>
        <w:t xml:space="preserve">Q2 2025</w:t>
      </w:r>
      <w:r>
        <w:rPr/>
        <w:t xml:space="preserve">: Open European office in London</w:t>
      </w:r>
    </w:p>
    <w:p w14:paraId="0000002a">
      <w:pPr>
        <w:rPr/>
      </w:pPr>
      <w:r>
        <w:rPr/>
        <w:t xml:space="preserve">• </w:t>
      </w:r>
      <w:r>
        <w:rPr>
          <w:b/>
          <w:bCs/>
        </w:rPr>
        <w:t xml:space="preserve">Q3 2025</w:t>
      </w:r>
      <w:r>
        <w:rPr/>
        <w:t xml:space="preserve">: Launch enterprise mobile application</w:t>
      </w:r>
    </w:p>
    <w:p w14:paraId="0000002b">
      <w:pPr>
        <w:rPr/>
      </w:pPr>
      <w:r>
        <w:rPr/>
        <w:t xml:space="preserve">• </w:t>
      </w:r>
      <w:r>
        <w:rPr>
          <w:b/>
          <w:bCs/>
        </w:rPr>
        <w:t xml:space="preserve">Q4 2025</w:t>
      </w:r>
      <w:r>
        <w:rPr/>
        <w:t xml:space="preserve">: Achieve SOC 2 Type II compliance</w:t>
      </w:r>
    </w:p>
    <w:p w14:paraId="0000002c">
      <w:pPr>
        <w:rPr/>
      </w:pPr>
      <w:r>
        <w:rPr>
          <w:sz w:val="18"/>
          <w:szCs w:val="18"/>
          <w:b/>
          <w:bCs/>
        </w:rPr>
        <w:t xml:space="preserve">Conclusion</w:t>
      </w:r>
    </w:p>
    <w:p w14:paraId="0000002d">
      <w:pPr>
        <w:rPr/>
      </w:pPr>
      <w:r>
        <w:rPr/>
        <w:t xml:space="preserve">Q4 2024 represents a transformative quarter for TechCorp. We've demonstrated strong execution across all business functions while positioning ourselves for accelerated growth in 2025.</w:t>
      </w:r>
    </w:p>
    <w:p w14:paraId="0000002e">
      <w:pPr>
        <w:rPr/>
      </w:pPr>
      <w:r>
        <w:rPr>
          <w:b/>
          <w:bCs/>
        </w:rPr>
        <w:t xml:space="preserve">Next Review</w:t>
      </w:r>
      <w:r>
        <w:rPr/>
        <w:t xml:space="preserve">: February 15, 2025</w:t>
      </w:r>
    </w:p>
    <w:p w14:paraId="0000002f">
      <w:pPr>
        <w:rPr/>
      </w:pPr>
      <w:r>
        <w:rPr>
          <w:b/>
          <w:bCs/>
        </w:rPr>
        <w:t xml:space="preserve">Prepared by</w:t>
      </w:r>
      <w:r>
        <w:rPr/>
        <w:t xml:space="preserve">: Strategic Planning Team</w:t>
      </w:r>
    </w:p>
    <w:p w14:paraId="00000030">
      <w:pPr>
        <w:rPr/>
      </w:pPr>
      <w:r>
        <w:rPr>
          <w:b/>
          <w:bCs/>
        </w:rPr>
        <w:t xml:space="preserve">Date</w:t>
      </w:r>
      <w:r>
        <w:rPr/>
        <w:t xml:space="preserve">: January 10, 2025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