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Text Formatting Showcase</w:t>
      </w:r>
    </w:p>
    <w:p w14:paraId="00000002">
      <w:pPr>
        <w:rPr/>
      </w:pPr>
      <w:r>
        <w:rPr/>
        <w:t xml:space="preserve">This document demonstrates various text formatting options to test parsing capabilities.</w:t>
      </w:r>
    </w:p>
    <w:p w14:paraId="00000003">
      <w:pPr>
        <w:rPr/>
      </w:pPr>
      <w:r>
        <w:rPr>
          <w:sz w:val="16"/>
          <w:szCs w:val="16"/>
          <w:b/>
          <w:bCs/>
        </w:rPr>
        <w:t xml:space="preserve">Bold Text Examples</w:t>
      </w:r>
    </w:p>
    <w:p w14:paraId="00000004">
      <w:pPr>
        <w:rPr/>
      </w:pPr>
      <w:r>
        <w:rPr/>
        <w:t xml:space="preserve">This paragraph contains </w:t>
      </w:r>
      <w:r>
        <w:rPr>
          <w:b/>
          <w:bCs/>
        </w:rPr>
        <w:t xml:space="preserve">bold text</w:t>
      </w:r>
      <w:r>
        <w:rPr/>
        <w:t xml:space="preserve"> mixed with regular text.</w:t>
      </w:r>
    </w:p>
    <w:p w14:paraId="00000005">
      <w:pPr>
        <w:rPr/>
      </w:pPr>
      <w:r>
        <w:rPr>
          <w:b/>
          <w:bCs/>
        </w:rPr>
        <w:t xml:space="preserve">This entire sentence is bold.</w:t>
      </w:r>
    </w:p>
    <w:p w14:paraId="00000006">
      <w:pPr>
        <w:rPr/>
      </w:pPr>
      <w:r>
        <w:rPr/>
        <w:t xml:space="preserve">Here we have </w:t>
      </w:r>
      <w:r>
        <w:rPr>
          <w:b/>
          <w:bCs/>
        </w:rPr>
        <w:t xml:space="preserve">bold at the beginning</w:t>
      </w:r>
      <w:r>
        <w:rPr/>
        <w:t xml:space="preserve"> and regular at the end.</w:t>
      </w:r>
    </w:p>
    <w:p w14:paraId="00000007">
      <w:pPr>
        <w:rPr/>
      </w:pPr>
      <w:r>
        <w:rPr>
          <w:sz w:val="16"/>
          <w:szCs w:val="16"/>
          <w:b/>
          <w:bCs/>
        </w:rPr>
        <w:t xml:space="preserve">Italic Text Examples</w:t>
      </w:r>
    </w:p>
    <w:p w14:paraId="00000008">
      <w:pPr>
        <w:rPr/>
      </w:pPr>
      <w:r>
        <w:rPr/>
        <w:t xml:space="preserve">This paragraph contains </w:t>
      </w:r>
      <w:r>
        <w:rPr>
          <w:i/>
          <w:iCs/>
        </w:rPr>
        <w:t xml:space="preserve">italic text</w:t>
      </w:r>
      <w:r>
        <w:rPr/>
        <w:t xml:space="preserve"> mixed with regular text.</w:t>
      </w:r>
    </w:p>
    <w:p w14:paraId="00000009">
      <w:pPr>
        <w:rPr/>
      </w:pPr>
      <w:r>
        <w:rPr>
          <w:i/>
          <w:iCs/>
        </w:rPr>
        <w:t xml:space="preserve">This entire sentence is italic.</w:t>
      </w:r>
    </w:p>
    <w:p w14:paraId="0000000a">
      <w:pPr>
        <w:rPr/>
      </w:pPr>
      <w:r>
        <w:rPr>
          <w:sz w:val="16"/>
          <w:szCs w:val="16"/>
          <w:b/>
          <w:bCs/>
        </w:rPr>
        <w:t xml:space="preserve">Combined Formatting</w:t>
      </w:r>
    </w:p>
    <w:p w14:paraId="0000000b">
      <w:pPr>
        <w:rPr/>
      </w:pPr>
      <w:r>
        <w:rPr>
          <w:b/>
          <w:bCs/>
          <w:i/>
          <w:iCs/>
        </w:rPr>
        <w:t xml:space="preserve">Bold and italic combined</w:t>
      </w:r>
    </w:p>
    <w:p w14:paraId="0000000c">
      <w:pPr>
        <w:rPr/>
      </w:pPr>
      <w:r>
        <w:rPr>
          <w:b/>
          <w:bCs/>
        </w:rPr>
        <w:t xml:space="preserve">Bold with </w:t>
      </w:r>
      <w:r>
        <w:rPr>
          <w:b/>
          <w:bCs/>
          <w:i/>
          <w:iCs/>
        </w:rPr>
        <w:t xml:space="preserve">italic inside</w:t>
      </w:r>
      <w:r>
        <w:rPr>
          <w:b/>
          <w:bCs/>
        </w:rPr>
        <w:t xml:space="preserve"> and back to bold</w:t>
      </w:r>
    </w:p>
    <w:p w14:paraId="0000000d">
      <w:pPr>
        <w:rPr/>
      </w:pPr>
      <w:r>
        <w:rPr>
          <w:sz w:val="16"/>
          <w:szCs w:val="16"/>
          <w:b/>
          <w:bCs/>
        </w:rPr>
        <w:t xml:space="preserve">Special Characters and Symbols</w:t>
      </w:r>
    </w:p>
    <w:p w14:paraId="0000000e">
      <w:pPr>
        <w:rPr/>
      </w:pPr>
      <w:r>
        <w:rPr/>
        <w:t xml:space="preserve">This section tests special characters: © ® ™ § ¶ • → ← ↑ ↓</w:t>
      </w:r>
    </w:p>
    <w:p w14:paraId="0000000f">
      <w:pPr>
        <w:rPr/>
      </w:pPr>
      <w:r>
        <w:rPr/>
        <w:t xml:space="preserve">Math symbols: ≤ ≥ ≠ ± ∞ ∑ ∏ ∆</w:t>
      </w:r>
    </w:p>
    <w:p w14:paraId="00000010">
      <w:pPr>
        <w:rPr/>
      </w:pPr>
      <w:r>
        <w:rPr/>
        <w:t xml:space="preserve">Currency: $ € £ ¥ ₹</w:t>
      </w:r>
    </w:p>
    <w:p w14:paraId="00000011">
      <w:pPr>
        <w:rPr/>
      </w:pPr>
      <w:r>
        <w:rPr/>
        <w:t xml:space="preserve">Fractions: ½ ⅓ ¼ ¾</w:t>
      </w:r>
    </w:p>
    <w:p w14:paraId="00000012">
      <w:pPr>
        <w:rPr/>
      </w:pPr>
      <w:r>
        <w:rPr/>
        <w:t xml:space="preserve">Accented characters: café résumé naïve</w:t>
      </w:r>
    </w:p>
    <w:p w14:paraId="00000013">
      <w:pPr>
        <w:rPr/>
      </w:pPr>
      <w:r>
        <w:rPr/>
        <w:t xml:space="preserve">Greek letters: α β γ δ ε θ λ π σ ω</w:t>
      </w:r>
    </w:p>
    <w:p w14:paraId="00000014">
      <w:pPr>
        <w:rPr/>
      </w:pPr>
      <w:r>
        <w:rPr/>
        <w:t xml:space="preserve">This document should test comprehensive formatting detection and preservation.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