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0000"/>
          <w:sz w:val="34"/>
          <w:szCs w:val="34"/>
        </w:rPr>
        <w:t xml:space="preserve">P2-10 — Azure Cost Controls &amp; Cleanup Checklist</w:t>
      </w:r>
    </w:p>
    <w:p>
      <w:pPr>
        <w:pBdr>
          <w:bottom w:val="single" w:color="2E75B6" w:sz="6" w:space="1"/>
        </w:pBdr>
        <w:spacing w:after="160"/>
      </w:pPr>
      <w:r>
        <w:rPr>
          <w:color w:val="595959"/>
          <w:sz w:val="20"/>
          <w:szCs w:val="20"/>
        </w:rPr>
        <w:t xml:space="preserve">The Shirt Bar Capstone  ·  CSD07 Group 2  ·  Resource group: rg-capstone  ·  Subscription: Azure for Students</w:t>
      </w:r>
    </w:p>
    <w:p>
      <w:pPr>
        <w:spacing w:after="200"/>
      </w:pPr>
      <w:r>
        <w:rPr>
          <w:b/>
          <w:bCs/>
          <w:sz w:val="20"/>
          <w:szCs w:val="20"/>
        </w:rPr>
        <w:t xml:space="preserve">Prepared by: </w:t>
      </w:r>
      <w:r>
        <w:rPr>
          <w:sz w:val="20"/>
          <w:szCs w:val="20"/>
        </w:rPr>
        <w:t xml:space="preserve">Faith Lim</w:t>
      </w:r>
      <w:r>
        <w:rPr>
          <w:b/>
          <w:bCs/>
          <w:sz w:val="20"/>
          <w:szCs w:val="20"/>
        </w:rPr>
        <w:t xml:space="preserve">      Date: </w:t>
      </w:r>
      <w:r>
        <w:rPr>
          <w:sz w:val="20"/>
          <w:szCs w:val="20"/>
        </w:rPr>
        <w:t xml:space="preserve">3 June 2026</w:t>
      </w:r>
    </w:p>
    <w:p>
      <w:pPr>
        <w:pStyle w:val="Heading1"/>
      </w:pPr>
      <w:r>
        <w:t xml:space="preserve">Objective</w:t>
      </w:r>
    </w:p>
    <w:p>
      <w:pPr>
        <w:spacing w:after="120"/>
      </w:pPr>
      <w:r>
        <w:rPr>
          <w:sz w:val="22"/>
          <w:szCs w:val="22"/>
        </w:rPr>
        <w:t xml:space="preserve">Establish cost controls so the team can use Azure safely within the student subscription, and define a cleanup process for after the final presentation. Cloud resources keep consuming budget after testing ends, so this document records what must stay running for the demo, what can be scaled down, how the budget is monitored, the post-presentation cleanup steps, and who is responsible for cost.</w:t>
      </w:r>
    </w:p>
    <w:p>
      <w:pPr>
        <w:pStyle w:val="Heading1"/>
      </w:pPr>
      <w:r>
        <w:t xml:space="preserve">1. Resource Review &amp; Demo Requirements</w:t>
      </w:r>
    </w:p>
    <w:p>
      <w:pPr>
        <w:spacing w:after="120"/>
      </w:pPr>
      <w:r>
        <w:rPr>
          <w:sz w:val="22"/>
          <w:szCs w:val="22"/>
        </w:rPr>
        <w:t xml:space="preserve">All resources currently in rg-capstone, with whether each is needed for the live demo (covering main steps 1 and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700"/>
        <w:gridCol w:w="276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19"/>
                <w:szCs w:val="19"/>
              </w:rPr>
              <w:t xml:space="preserve">Resource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19"/>
                <w:szCs w:val="19"/>
              </w:rPr>
              <w:t xml:space="preserve">Type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19"/>
                <w:szCs w:val="19"/>
              </w:rPr>
              <w:t xml:space="preserve">Required for demo?</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19"/>
                <w:szCs w:val="19"/>
              </w:rPr>
              <w:t xml:space="preserve">Notes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capstone-aks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Kubernetes service (AKS)</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color w:val="375623"/>
                <w:sz w:val="19"/>
                <w:szCs w:val="19"/>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Runs the Shirt Bar app; must be running for the demo.</w:t>
            </w:r>
          </w:p>
        </w:tc>
      </w:tr>
      <w:tr>
        <w:tc>
          <w:tcPr>
            <w:tcW w:type="dxa" w:w="2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capstonereg047af007</w:t>
            </w:r>
          </w:p>
        </w:tc>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Container registry (ACR)</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color w:val="375623"/>
                <w:sz w:val="19"/>
                <w:szCs w:val="19"/>
              </w:rPr>
              <w:t xml:space="preserve">Yes</w:t>
            </w:r>
          </w:p>
        </w:tc>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Stores the app images AKS pulls from; keep available.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sql-capstone-csd07grp2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SQL server</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color w:val="375623"/>
                <w:sz w:val="19"/>
                <w:szCs w:val="19"/>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Logical server hosting the databases; no compute cost itself.</w:t>
            </w:r>
          </w:p>
        </w:tc>
      </w:tr>
      <w:tr>
        <w:tc>
          <w:tcPr>
            <w:tcW w:type="dxa" w:w="2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tsb-orders-db</w:t>
            </w:r>
          </w:p>
        </w:tc>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SQL database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color w:val="375623"/>
                <w:sz w:val="19"/>
                <w:szCs w:val="19"/>
              </w:rPr>
              <w:t xml:space="preserve">Yes</w:t>
            </w:r>
          </w:p>
        </w:tc>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Orders data for the app.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tsb-products-db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SQL database</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color w:val="375623"/>
                <w:sz w:val="19"/>
                <w:szCs w:val="19"/>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Product catalogue data for the app.</w:t>
            </w:r>
          </w:p>
        </w:tc>
      </w:tr>
      <w:tr>
        <w:tc>
          <w:tcPr>
            <w:tcW w:type="dxa" w:w="2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sql-capstone-CSD07-grp2</w:t>
            </w:r>
          </w:p>
        </w:tc>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SQL database</w:t>
            </w:r>
          </w:p>
        </w:tc>
        <w:tc>
          <w:tcPr>
            <w:tcW w:type="dxa" w:w="17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b/>
                <w:bCs/>
                <w:color w:val="9C2B2B"/>
                <w:sz w:val="19"/>
                <w:szCs w:val="19"/>
              </w:rPr>
              <w:t xml:space="preserve">No</w:t>
            </w:r>
          </w:p>
        </w:tc>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Unused leftover from initial server setup (see Tagging note).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capstone-alerts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Action group</w:t>
            </w:r>
          </w:p>
        </w:tc>
        <w:tc>
          <w:tcPr>
            <w:tcW w:type="dxa" w:w="17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b/>
                <w:bCs/>
                <w:color w:val="9C2B2B"/>
                <w:sz w:val="19"/>
                <w:szCs w:val="19"/>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Supports alerting; negligible cost, safe to keep.</w:t>
            </w:r>
          </w:p>
        </w:tc>
      </w:tr>
      <w:tr>
        <w:tc>
          <w:tcPr>
            <w:tcW w:type="dxa" w:w="2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capstone-pod-alert</w:t>
            </w:r>
          </w:p>
        </w:tc>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Metric alert rule</w:t>
            </w:r>
          </w:p>
        </w:tc>
        <w:tc>
          <w:tcPr>
            <w:tcW w:type="dxa" w:w="17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b/>
                <w:bCs/>
                <w:color w:val="9C2B2B"/>
                <w:sz w:val="19"/>
                <w:szCs w:val="19"/>
              </w:rPr>
              <w:t xml:space="preserve">No</w:t>
            </w:r>
          </w:p>
        </w:tc>
        <w:tc>
          <w:tcPr>
            <w:tcW w:type="dxa" w:w="2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Pod health alert; negligible cost.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MSCI-southeastasia-capstone-aks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Data collection rule</w:t>
            </w:r>
          </w:p>
        </w:tc>
        <w:tc>
          <w:tcPr>
            <w:tcW w:type="dxa" w:w="17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b/>
                <w:bCs/>
                <w:color w:val="9C2B2B"/>
                <w:sz w:val="19"/>
                <w:szCs w:val="19"/>
              </w:rP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AKS monitoring; negligible cost.</w:t>
            </w:r>
          </w:p>
        </w:tc>
      </w:tr>
    </w:tbl>
    <w:p>
      <w:r>
        <w:t xml:space="preserve"/>
      </w:r>
    </w:p>
    <w:p>
      <w:pPr>
        <w:spacing w:after="120"/>
      </w:pPr>
      <w:r>
        <w:rPr>
          <w:b/>
          <w:bCs/>
          <w:sz w:val="22"/>
          <w:szCs w:val="22"/>
        </w:rPr>
        <w:t xml:space="preserve">Summary: </w:t>
      </w:r>
      <w:r>
        <w:rPr>
          <w:sz w:val="22"/>
          <w:szCs w:val="22"/>
        </w:rPr>
        <w:t xml:space="preserve">five resources are demo-critical (AKS, ACR, the SQL server, and the two application databases). The remaining four — a leftover database plus monitoring resources — are not needed for the demo and carry negligible cost.</w:t>
      </w:r>
    </w:p>
    <w:p>
      <w:pPr>
        <w:pStyle w:val="Heading1"/>
      </w:pPr>
      <w:r>
        <w:t xml:space="preserve">2. Budget &amp; Alert Settings</w:t>
      </w:r>
    </w:p>
    <w:p>
      <w:pPr>
        <w:spacing w:after="120"/>
      </w:pPr>
      <w:r>
        <w:rPr>
          <w:sz w:val="22"/>
          <w:szCs w:val="22"/>
        </w:rPr>
        <w:t xml:space="preserve">Cost control is enforced through an Azure Budget on the resource group (main step 3).</w:t>
      </w:r>
    </w:p>
    <w:p>
      <w:pPr>
        <w:spacing w:after="120"/>
      </w:pPr>
      <w:r>
        <w:rPr>
          <w:b/>
          <w:bCs/>
          <w:sz w:val="22"/>
          <w:szCs w:val="22"/>
        </w:rPr>
        <w:t xml:space="preserve">Budget: </w:t>
      </w:r>
      <w:r>
        <w:rPr>
          <w:sz w:val="22"/>
          <w:szCs w:val="22"/>
        </w:rPr>
        <w:t xml:space="preserve">budget-capstone, scoped to rg-capstone, USD $20.00 per month, resets monthly.</w:t>
      </w:r>
    </w:p>
    <w:p>
      <w:pPr>
        <w:spacing w:after="120"/>
      </w:pPr>
      <w:r>
        <w:rPr>
          <w:b/>
          <w:bCs/>
          <w:sz w:val="22"/>
          <w:szCs w:val="22"/>
        </w:rPr>
        <w:t xml:space="preserve">Alert thresholds: </w:t>
      </w:r>
      <w:r>
        <w:rPr>
          <w:sz w:val="22"/>
          <w:szCs w:val="22"/>
        </w:rPr>
        <w:t xml:space="preserve">Actual cost alerts configured at 50% ($10), 80% ($16) and 100% ($20).</w:t>
      </w:r>
    </w:p>
    <w:p>
      <w:pPr>
        <w:spacing w:after="120"/>
      </w:pPr>
      <w:r>
        <w:rPr>
          <w:b/>
          <w:bCs/>
          <w:sz w:val="22"/>
          <w:szCs w:val="22"/>
        </w:rPr>
        <w:t xml:space="preserve">Recipients: </w:t>
      </w:r>
      <w:r>
        <w:rPr>
          <w:sz w:val="22"/>
          <w:szCs w:val="22"/>
        </w:rPr>
        <w:t xml:space="preserve">all four team members receive alert emails (Khairul, Faith, Peng Chou, Terence).</w:t>
      </w:r>
    </w:p>
    <w:p>
      <w:pPr>
        <w:spacing w:after="120"/>
      </w:pPr>
      <w:r>
        <w:rPr>
          <w:b/>
          <w:bCs/>
          <w:sz w:val="22"/>
          <w:szCs w:val="22"/>
        </w:rPr>
        <w:t xml:space="preserve">Status at time of writing: </w:t>
      </w:r>
      <w:r>
        <w:rPr>
          <w:sz w:val="22"/>
          <w:szCs w:val="22"/>
        </w:rPr>
        <w:t xml:space="preserve">current spend ~USD $0.57, well within budget.</w:t>
      </w:r>
    </w:p>
    <w:p>
      <w:pPr>
        <w:spacing w:after="120"/>
      </w:pPr>
      <w:r>
        <w:rPr>
          <w:i/>
          <w:iCs/>
          <w:color w:val="7F6000"/>
          <w:sz w:val="20"/>
          <w:szCs w:val="20"/>
        </w:rPr>
        <w:t xml:space="preserve">Recommendation implemented: the 100% threshold was added to the original 50%/80% configuration so the team is notified the moment the full budget is reached, not only as it is approached.</w:t>
      </w:r>
    </w:p>
    <w:p>
      <w:pPr>
        <w:pStyle w:val="Heading1"/>
      </w:pPr>
      <w:r>
        <w:t xml:space="preserve">3. Tagging Status</w:t>
      </w:r>
    </w:p>
    <w:p>
      <w:pPr>
        <w:spacing w:after="120"/>
      </w:pPr>
      <w:r>
        <w:rPr>
          <w:sz w:val="22"/>
          <w:szCs w:val="22"/>
        </w:rPr>
        <w:t xml:space="preserve">Governance tags (the agreed 7-tag standard: CostControl, Course, Environment, ManagedBy, Owner, Phase, Project) were verified across the SQL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19"/>
                <w:szCs w:val="19"/>
              </w:rPr>
              <w:t xml:space="preserve">Resource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19"/>
                <w:szCs w:val="19"/>
              </w:rPr>
              <w:t xml:space="preserve">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19"/>
                <w:szCs w:val="19"/>
              </w:rPr>
              <w:t xml:space="preserve">Governance tags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sql-capstone-csd07grp2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SQL server</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color w:val="375623"/>
                <w:sz w:val="19"/>
                <w:szCs w:val="19"/>
              </w:rPr>
              <w:t xml:space="preserve">7 / 7</w:t>
            </w:r>
          </w:p>
        </w:tc>
      </w:tr>
      <w:tr>
        <w:tc>
          <w:tcPr>
            <w:tcW w:type="dxa" w:w="3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tsb-orders-db</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SQL database</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color w:val="375623"/>
                <w:sz w:val="19"/>
                <w:szCs w:val="19"/>
              </w:rPr>
              <w:t xml:space="preserve">7 / 7</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tsb-products-db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SQL database</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b/>
                <w:bCs/>
                <w:color w:val="375623"/>
                <w:sz w:val="19"/>
                <w:szCs w:val="19"/>
              </w:rPr>
              <w:t xml:space="preserve">7 / 7</w:t>
            </w:r>
          </w:p>
        </w:tc>
      </w:tr>
      <w:tr>
        <w:tc>
          <w:tcPr>
            <w:tcW w:type="dxa" w:w="3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sql-capstone-CSD07-grp2</w:t>
            </w:r>
          </w:p>
        </w:tc>
        <w:tc>
          <w:tcPr>
            <w:tcW w:type="dxa" w:w="2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vAlign w:val="center"/>
          </w:tcPr>
          <w:p>
            <w:r>
              <w:rPr>
                <w:b w:val="false"/>
                <w:bCs w:val="false"/>
                <w:color w:val="000000"/>
                <w:sz w:val="19"/>
                <w:szCs w:val="19"/>
              </w:rPr>
              <w:t xml:space="preserve">SQL database</w:t>
            </w:r>
          </w:p>
        </w:tc>
        <w:tc>
          <w:tcPr>
            <w:tcW w:type="dxa" w:w="3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r>
              <w:rPr>
                <w:b/>
                <w:bCs/>
                <w:color w:val="9C2B2B"/>
                <w:sz w:val="19"/>
                <w:szCs w:val="19"/>
              </w:rPr>
              <w:t xml:space="preserve">0 / 7 — to be tagged</w:t>
            </w:r>
          </w:p>
        </w:tc>
      </w:tr>
    </w:tbl>
    <w:p>
      <w:r>
        <w:t xml:space="preserve"/>
      </w:r>
    </w:p>
    <w:p>
      <w:pPr>
        <w:spacing w:after="120"/>
      </w:pPr>
      <w:r>
        <w:rPr>
          <w:b/>
          <w:bCs/>
          <w:sz w:val="22"/>
          <w:szCs w:val="22"/>
        </w:rPr>
        <w:t xml:space="preserve">Action: </w:t>
      </w:r>
      <w:r>
        <w:rPr>
          <w:sz w:val="22"/>
          <w:szCs w:val="22"/>
        </w:rPr>
        <w:t xml:space="preserve">the leftover sql-capstone-CSD07-grp2 database had no tags and uses an off-convention (capitalised) name. Per the resource owner's approval (Option 1), the 7 standard tags are to be applied to bring it in line; it is also listed as a deletion candidate in the cleanup checklist below, pending confirmation it is unused.</w:t>
      </w:r>
    </w:p>
    <w:p>
      <w:pPr>
        <w:pStyle w:val="Heading1"/>
      </w:pPr>
      <w:r>
        <w:t xml:space="preserve">4. Resources That Can Be Scaled Down When Not In Use</w:t>
      </w:r>
    </w:p>
    <w:p>
      <w:pPr>
        <w:spacing w:after="120"/>
      </w:pPr>
      <w:r>
        <w:rPr>
          <w:sz w:val="22"/>
          <w:szCs w:val="22"/>
        </w:rPr>
        <w:t xml:space="preserve">To avoid spending budget between work sessions (main step 4):</w:t>
      </w:r>
    </w:p>
    <w:p>
      <w:pPr>
        <w:pStyle w:val="ListParagraph"/>
        <w:numPr>
          <w:ilvl w:val="0"/>
          <w:numId w:val="2"/>
        </w:numPr>
        <w:spacing w:after="60"/>
      </w:pPr>
      <w:r>
        <w:rPr>
          <w:sz w:val="22"/>
          <w:szCs w:val="22"/>
        </w:rPr>
        <w:t xml:space="preserve">AKS cluster (capstone-aks) — the largest cost driver. Stop it when idle and start it before the demo: 'az aks stop --name capstone-aks --resource-group rg-capstone' and 'az aks start --name capstone-aks --resource-group rg-capstone'.</w:t>
      </w:r>
    </w:p>
    <w:p>
      <w:pPr>
        <w:pStyle w:val="ListParagraph"/>
        <w:numPr>
          <w:ilvl w:val="0"/>
          <w:numId w:val="2"/>
        </w:numPr>
        <w:spacing w:after="60"/>
      </w:pPr>
      <w:r>
        <w:rPr>
          <w:sz w:val="22"/>
          <w:szCs w:val="22"/>
        </w:rPr>
        <w:t xml:space="preserve">SQL databases (tsb-orders-db, tsb-products-db) — check the pricing tier. If provisioned, lower the tier between sessions; if serverless, set a short auto-pause delay so they pause when idle.</w:t>
      </w:r>
    </w:p>
    <w:p>
      <w:pPr>
        <w:pStyle w:val="ListParagraph"/>
        <w:numPr>
          <w:ilvl w:val="0"/>
          <w:numId w:val="2"/>
        </w:numPr>
        <w:spacing w:after="60"/>
      </w:pPr>
      <w:r>
        <w:rPr>
          <w:sz w:val="22"/>
          <w:szCs w:val="22"/>
        </w:rPr>
        <w:t xml:space="preserve">Container registry (capstonereg047af007) — Basic tier, minimal fixed cost; no scale-down action needed, just avoid storing unnecessary images.</w:t>
      </w:r>
    </w:p>
    <w:p>
      <w:pPr>
        <w:spacing w:after="120"/>
      </w:pPr>
      <w:r>
        <w:rPr>
          <w:i/>
          <w:iCs/>
          <w:color w:val="7F6000"/>
          <w:sz w:val="20"/>
          <w:szCs w:val="20"/>
        </w:rPr>
        <w:t xml:space="preserve">Confirm the SQL database pricing tier in the portal before adjusting — the scale-down step depends on whether they are provisioned or serverless.</w:t>
      </w:r>
    </w:p>
    <w:p>
      <w:pPr>
        <w:pStyle w:val="Heading1"/>
      </w:pPr>
      <w:r>
        <w:t xml:space="preserve">5. Post-Presentation Cleanup Checklist</w:t>
      </w:r>
    </w:p>
    <w:p>
      <w:pPr>
        <w:spacing w:after="120"/>
      </w:pPr>
      <w:r>
        <w:rPr>
          <w:sz w:val="22"/>
          <w:szCs w:val="22"/>
        </w:rPr>
        <w:t xml:space="preserve">To run AFTER the final presentation, once the demo is no longer needed (main step 5). Tick each item as completed:</w:t>
      </w:r>
    </w:p>
    <w:p>
      <w:pPr>
        <w:pStyle w:val="ListParagraph"/>
        <w:numPr>
          <w:ilvl w:val="0"/>
          <w:numId w:val="3"/>
        </w:numPr>
        <w:spacing w:after="60"/>
      </w:pPr>
      <w:r>
        <w:rPr>
          <w:sz w:val="22"/>
          <w:szCs w:val="22"/>
        </w:rPr>
        <w:t xml:space="preserve">Stop or delete the AKS cluster (capstone-aks) — removes the biggest ongoing cost.</w:t>
      </w:r>
    </w:p>
    <w:p>
      <w:pPr>
        <w:pStyle w:val="ListParagraph"/>
        <w:numPr>
          <w:ilvl w:val="0"/>
          <w:numId w:val="3"/>
        </w:numPr>
        <w:spacing w:after="60"/>
      </w:pPr>
      <w:r>
        <w:rPr>
          <w:sz w:val="22"/>
          <w:szCs w:val="22"/>
        </w:rPr>
        <w:t xml:space="preserve">Delete the unused sql-capstone-CSD07-grp2 database (after confirming nothing uses it).</w:t>
      </w:r>
    </w:p>
    <w:p>
      <w:pPr>
        <w:pStyle w:val="ListParagraph"/>
        <w:numPr>
          <w:ilvl w:val="0"/>
          <w:numId w:val="3"/>
        </w:numPr>
        <w:spacing w:after="60"/>
      </w:pPr>
      <w:r>
        <w:rPr>
          <w:sz w:val="22"/>
          <w:szCs w:val="22"/>
        </w:rPr>
        <w:t xml:space="preserve">Delete or downgrade tsb-orders-db and tsb-products-db if the data is no longer required.</w:t>
      </w:r>
    </w:p>
    <w:p>
      <w:pPr>
        <w:pStyle w:val="ListParagraph"/>
        <w:numPr>
          <w:ilvl w:val="0"/>
          <w:numId w:val="3"/>
        </w:numPr>
        <w:spacing w:after="60"/>
      </w:pPr>
      <w:r>
        <w:rPr>
          <w:sz w:val="22"/>
          <w:szCs w:val="22"/>
        </w:rPr>
        <w:t xml:space="preserve">Delete the container registry (capstonereg047af007) if the images are no longer needed.</w:t>
      </w:r>
    </w:p>
    <w:p>
      <w:pPr>
        <w:pStyle w:val="ListParagraph"/>
        <w:numPr>
          <w:ilvl w:val="0"/>
          <w:numId w:val="3"/>
        </w:numPr>
        <w:spacing w:after="60"/>
      </w:pPr>
      <w:r>
        <w:rPr>
          <w:sz w:val="22"/>
          <w:szCs w:val="22"/>
        </w:rPr>
        <w:t xml:space="preserve">Remove the alert rule, action group and data collection rule (capstone-pod-alert, capstone-alerts, MSCI-southeastasia-capstone-aks).</w:t>
      </w:r>
    </w:p>
    <w:p>
      <w:pPr>
        <w:pStyle w:val="ListParagraph"/>
        <w:numPr>
          <w:ilvl w:val="0"/>
          <w:numId w:val="3"/>
        </w:numPr>
        <w:spacing w:after="60"/>
      </w:pPr>
      <w:r>
        <w:rPr>
          <w:sz w:val="22"/>
          <w:szCs w:val="22"/>
        </w:rPr>
        <w:t xml:space="preserve">As a final step, delete the entire rg-capstone resource group to remove anything remaining in one action — only after the handover is complete and the team agrees.</w:t>
      </w:r>
    </w:p>
    <w:p>
      <w:pPr>
        <w:pStyle w:val="ListParagraph"/>
        <w:numPr>
          <w:ilvl w:val="0"/>
          <w:numId w:val="3"/>
        </w:numPr>
        <w:spacing w:after="60"/>
      </w:pPr>
      <w:r>
        <w:rPr>
          <w:sz w:val="22"/>
          <w:szCs w:val="22"/>
        </w:rPr>
        <w:t xml:space="preserve">Confirm in Cost analysis that spend has dropped to ~$0 after cleanup.</w:t>
      </w:r>
    </w:p>
    <w:p>
      <w:pPr>
        <w:spacing w:after="120"/>
      </w:pPr>
      <w:r>
        <w:rPr>
          <w:i/>
          <w:iCs/>
          <w:color w:val="7F6000"/>
          <w:sz w:val="20"/>
          <w:szCs w:val="20"/>
        </w:rPr>
        <w:t xml:space="preserve">Deleting a resource group is irreversible and removes every resource inside it. Do this only when the project is fully handed over.</w:t>
      </w:r>
    </w:p>
    <w:p>
      <w:pPr>
        <w:pStyle w:val="Heading1"/>
      </w:pPr>
      <w:r>
        <w:t xml:space="preserve">6. Cost Monitoring Responsibility</w:t>
      </w:r>
    </w:p>
    <w:p>
      <w:pPr>
        <w:spacing w:after="120"/>
      </w:pPr>
      <w:r>
        <w:rPr>
          <w:b/>
          <w:bCs/>
          <w:sz w:val="22"/>
          <w:szCs w:val="22"/>
        </w:rPr>
        <w:t xml:space="preserve">Cost owner: </w:t>
      </w:r>
      <w:r>
        <w:rPr>
          <w:sz w:val="22"/>
          <w:szCs w:val="22"/>
        </w:rPr>
        <w:t xml:space="preserve">Khairul Rizal — created and owns the budget (matches the Owner governance tag) and is responsible for monitoring spend against the budget.</w:t>
      </w:r>
    </w:p>
    <w:p>
      <w:pPr>
        <w:spacing w:after="120"/>
      </w:pPr>
      <w:r>
        <w:rPr>
          <w:b/>
          <w:bCs/>
          <w:sz w:val="22"/>
          <w:szCs w:val="22"/>
        </w:rPr>
        <w:t xml:space="preserve">Shared visibility: </w:t>
      </w:r>
      <w:r>
        <w:rPr>
          <w:sz w:val="22"/>
          <w:szCs w:val="22"/>
        </w:rPr>
        <w:t xml:space="preserve">all four team members receive the budget alert emails at 50%, 80% and 100%, so the whole group is aware as the budget is consumed.</w:t>
      </w:r>
    </w:p>
    <w:p>
      <w:pPr>
        <w:spacing w:after="120"/>
      </w:pPr>
      <w:r>
        <w:rPr>
          <w:b/>
          <w:bCs/>
          <w:sz w:val="22"/>
          <w:szCs w:val="22"/>
        </w:rPr>
        <w:t xml:space="preserve">Review cadence: </w:t>
      </w:r>
      <w:r>
        <w:rPr>
          <w:sz w:val="22"/>
          <w:szCs w:val="22"/>
        </w:rPr>
        <w:t xml:space="preserve">check Cost analysis for rg-capstone weekly during active development, and immediately if a budget alert email is received.</w:t>
      </w:r>
    </w:p>
    <w:p>
      <w:pPr>
        <w:pStyle w:val="Heading1"/>
      </w:pPr>
      <w:r>
        <w:t xml:space="preserve">7. Recommendations</w:t>
      </w:r>
    </w:p>
    <w:p>
      <w:pPr>
        <w:pStyle w:val="ListParagraph"/>
        <w:numPr>
          <w:ilvl w:val="0"/>
          <w:numId w:val="2"/>
        </w:numPr>
        <w:spacing w:after="60"/>
      </w:pPr>
      <w:r>
        <w:rPr>
          <w:sz w:val="22"/>
          <w:szCs w:val="22"/>
        </w:rPr>
        <w:t xml:space="preserve">Keep the AKS cluster stopped between work sessions — it is the main lever for staying within the $20 monthly budget.</w:t>
      </w:r>
    </w:p>
    <w:p>
      <w:pPr>
        <w:pStyle w:val="ListParagraph"/>
        <w:numPr>
          <w:ilvl w:val="0"/>
          <w:numId w:val="2"/>
        </w:numPr>
        <w:spacing w:after="60"/>
      </w:pPr>
      <w:r>
        <w:rPr>
          <w:sz w:val="22"/>
          <w:szCs w:val="22"/>
        </w:rPr>
        <w:t xml:space="preserve">Apply the 7-tag standard to the leftover database, then schedule it for deletion at cleanup if confirmed unused.</w:t>
      </w:r>
    </w:p>
    <w:p>
      <w:pPr>
        <w:pStyle w:val="ListParagraph"/>
        <w:numPr>
          <w:ilvl w:val="0"/>
          <w:numId w:val="2"/>
        </w:numPr>
        <w:spacing w:after="60"/>
      </w:pPr>
      <w:r>
        <w:rPr>
          <w:sz w:val="22"/>
          <w:szCs w:val="22"/>
        </w:rPr>
        <w:t xml:space="preserve">Adopt the lowercase naming convention for any new resources to keep the resource group consistent.</w:t>
      </w:r>
    </w:p>
    <w:p>
      <w:pPr>
        <w:pStyle w:val="ListParagraph"/>
        <w:numPr>
          <w:ilvl w:val="0"/>
          <w:numId w:val="2"/>
        </w:numPr>
        <w:spacing w:after="60"/>
      </w:pPr>
      <w:r>
        <w:rPr>
          <w:sz w:val="22"/>
          <w:szCs w:val="22"/>
        </w:rPr>
        <w:t xml:space="preserve">Optionally, add an Azure Policy requiring the 7 mandatory tags on new resources to prevent untagged resources in future.</w:t>
      </w:r>
    </w:p>
    <w:p>
      <w:pPr>
        <w:pStyle w:val="Heading1"/>
      </w:pPr>
      <w:r>
        <w:t xml:space="preserve">Done-When Checklist</w:t>
      </w:r>
    </w:p>
    <w:p>
      <w:pPr>
        <w:pStyle w:val="ListParagraph"/>
        <w:numPr>
          <w:ilvl w:val="0"/>
          <w:numId w:val="3"/>
        </w:numPr>
        <w:spacing w:after="60"/>
      </w:pPr>
      <w:r>
        <w:rPr>
          <w:sz w:val="22"/>
          <w:szCs w:val="22"/>
        </w:rPr>
        <w:t xml:space="preserve">Budget alert / cost review process is in place — done (Section 2).</w:t>
      </w:r>
    </w:p>
    <w:p>
      <w:pPr>
        <w:pStyle w:val="ListParagraph"/>
        <w:numPr>
          <w:ilvl w:val="0"/>
          <w:numId w:val="3"/>
        </w:numPr>
        <w:spacing w:after="60"/>
      </w:pPr>
      <w:r>
        <w:rPr>
          <w:sz w:val="22"/>
          <w:szCs w:val="22"/>
        </w:rPr>
        <w:t xml:space="preserve">Team knows which resources are safe to stop or delete — done (Sections 1, 4, 5).</w:t>
      </w:r>
    </w:p>
    <w:p>
      <w:pPr>
        <w:pStyle w:val="ListParagraph"/>
        <w:numPr>
          <w:ilvl w:val="0"/>
          <w:numId w:val="3"/>
        </w:numPr>
        <w:spacing w:after="60"/>
      </w:pPr>
      <w:r>
        <w:rPr>
          <w:sz w:val="22"/>
          <w:szCs w:val="22"/>
        </w:rPr>
        <w:t xml:space="preserve">Cleanup rules are documented — done (Section 5).</w:t>
      </w:r>
    </w:p>
    <w:p>
      <w:pPr>
        <w:pStyle w:val="ListParagraph"/>
        <w:numPr>
          <w:ilvl w:val="0"/>
          <w:numId w:val="3"/>
        </w:numPr>
        <w:spacing w:after="60"/>
      </w:pPr>
      <w:r>
        <w:rPr>
          <w:sz w:val="22"/>
          <w:szCs w:val="22"/>
        </w:rPr>
        <w:t xml:space="preserve">Cost notes are included in the final handover — feed Sections 4–6 into the P11 handover runbook.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90" w:before="18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2026-06-03T12:58:06.955Z</dcterms:created>
  <dcterms:modified xsi:type="dcterms:W3CDTF">2026-06-03T12:58:06.970Z</dcterms:modified>
</cp:coreProperties>
</file>

<file path=docProps/custom.xml><?xml version="1.0" encoding="utf-8"?>
<Properties xmlns="http://schemas.openxmlformats.org/officeDocument/2006/custom-properties" xmlns:vt="http://schemas.openxmlformats.org/officeDocument/2006/docPropsVTypes"/>
</file>