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COLORES A UTILIZAR</w:t>
      </w:r>
      <w:r w:rsidDel="00000000" w:rsidR="00000000" w:rsidRPr="00000000">
        <w:rPr>
          <w:rtl w:val="0"/>
        </w:rPr>
        <w:t xml:space="preserve"> (sin contar con el blanco y gris oscuro)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ef9d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#030304</w:t>
        <w:tab/>
        <w:tab/>
      </w:r>
      <w:r w:rsidDel="00000000" w:rsidR="00000000" w:rsidRPr="00000000">
        <w:rPr>
          <w:b w:val="1"/>
          <w:color w:val="e94b1e"/>
          <w:rtl w:val="0"/>
        </w:rPr>
        <w:t xml:space="preserve">#E94B1E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fab518"/>
          <w:rtl w:val="0"/>
        </w:rPr>
        <w:t xml:space="preserve">#</w:t>
      </w:r>
      <w:r w:rsidDel="00000000" w:rsidR="00000000" w:rsidRPr="00000000">
        <w:rPr>
          <w:b w:val="1"/>
          <w:color w:val="fab518"/>
          <w:rtl w:val="0"/>
        </w:rPr>
        <w:t xml:space="preserve">FAB518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dd62c"/>
          <w:rtl w:val="0"/>
        </w:rPr>
        <w:t xml:space="preserve">#</w:t>
      </w:r>
      <w:r w:rsidDel="00000000" w:rsidR="00000000" w:rsidRPr="00000000">
        <w:rPr>
          <w:b w:val="1"/>
          <w:color w:val="fdd62c"/>
          <w:rtl w:val="0"/>
        </w:rPr>
        <w:t xml:space="preserve">FDD62C</w:t>
      </w:r>
      <w:r w:rsidDel="00000000" w:rsidR="00000000" w:rsidRPr="00000000">
        <w:rPr>
          <w:b w:val="1"/>
          <w:rtl w:val="0"/>
        </w:rPr>
        <w:t xml:space="preserve"> </w:t>
        <w:tab/>
        <w:tab/>
      </w:r>
      <w:r w:rsidDel="00000000" w:rsidR="00000000" w:rsidRPr="00000000">
        <w:rPr>
          <w:b w:val="1"/>
          <w:color w:val="fef9df"/>
          <w:rtl w:val="0"/>
        </w:rPr>
        <w:t xml:space="preserve">#FEF9DF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Los booleanos se escribirán con nombres coherentes para saber qué es lo que hace cada uno, por ejemplo: </w:t>
      </w:r>
      <w:r w:rsidDel="00000000" w:rsidR="00000000" w:rsidRPr="00000000">
        <w:rPr>
          <w:i w:val="1"/>
          <w:rtl w:val="0"/>
        </w:rPr>
        <w:t xml:space="preserve">valido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existe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correcto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9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nombre de las ventanas empezaran con una v, por ejemplo: </w:t>
      </w:r>
      <w:r w:rsidDel="00000000" w:rsidR="00000000" w:rsidRPr="00000000">
        <w:rPr>
          <w:i w:val="1"/>
          <w:rtl w:val="0"/>
        </w:rPr>
        <w:t xml:space="preserve">vPrincipal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nombre de las variables, al igual que los booleanos, </w:t>
      </w:r>
      <w:r w:rsidDel="00000000" w:rsidR="00000000" w:rsidRPr="00000000">
        <w:rPr>
          <w:rtl w:val="0"/>
        </w:rPr>
        <w:t xml:space="preserve">tendran</w:t>
      </w:r>
      <w:r w:rsidDel="00000000" w:rsidR="00000000" w:rsidRPr="00000000">
        <w:rPr>
          <w:rtl w:val="0"/>
        </w:rPr>
        <w:t xml:space="preserve"> un nombre coherente para saber lo que guardan y su </w:t>
      </w:r>
      <w:r w:rsidDel="00000000" w:rsidR="00000000" w:rsidRPr="00000000">
        <w:rPr>
          <w:rtl w:val="0"/>
        </w:rPr>
        <w:t xml:space="preserve">utilizacion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nombre de las funciones irán acorde con su función para poder buscarlas e identificarlas, por ejemplo: </w:t>
      </w:r>
      <w:r w:rsidDel="00000000" w:rsidR="00000000" w:rsidRPr="00000000">
        <w:rPr>
          <w:i w:val="1"/>
          <w:rtl w:val="0"/>
        </w:rPr>
        <w:t xml:space="preserve">sumarJugadores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crearEquipo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F">
      <w:pPr>
        <w:keepLines w:val="0"/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Intentar optimizar el código todo lo posible para evitar código repetitivo.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Otras características: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 irá en con la notación camelCase y no se utilizarán “_” ni “-”.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“ñ” se sustituyen por “n” o por “ni” (según lo que quede mejor).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pondrán tildes en ningún caso.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VISTA</w:t>
      </w:r>
    </w:p>
    <w:p w:rsidR="00000000" w:rsidDel="00000000" w:rsidP="00000000" w:rsidRDefault="00000000" w:rsidRPr="00000000" w14:paraId="0000001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Habrá diferentes tamaños fuente (Títulos, subtítulos y texto ordinario).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Las imágenes se guardarán en una carpeta llamada “imagenes” que estará en la carpeta “Vista”. También tendrán nombres significativos / descriptivos.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Imágenes que utilizaremos en documentos, ventanas y demás: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Logotipo del equipo →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6263" cy="3101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01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Logotipo oficial de la KINGS LEAGUE →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0063" cy="24056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40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