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Слой бизнес-логики системы формирования операционной технологической карты радиографического контроля сварных соединений</w:t>
      </w:r>
    </w:p>
    <w:p>
      <w:r>
        <w:t>Документ сформирован автоматически по исходному коду проекта. Дата: 24.04.2026 00:06. Назначение текста — подробно описать не «архитектурные диаграммы», а предметную логику: какие параметры карты существуют, от чего они зависят, какие таблицы и формулы используются при пересчёте, в каком порядке применяются правила и что происходит при смене входных данных.</w:t>
      </w:r>
    </w:p>
    <w:p>
      <w:pPr>
        <w:pStyle w:val="Heading1"/>
      </w:pPr>
      <w:r>
        <w:t>1. Роль слоя бизнес-логики в приложении</w:t>
      </w:r>
    </w:p>
    <w:p>
      <w:r>
        <w:t>Слой бизнес-логики в данном проекте отвечает за преобразование структуры «операционной технологической карты» (ОТК РК) из шаблонного состояния в заполненное и согласованное состояние после действий пользователя (выбор типа соединения, схемы просвечивания, материала, аппарата и т.д.). Он не реализует транспорт HTTP и не выполняет прямые SQL-запросы из контроллеров: доступ к данным инкапсулирован в репозитории, а бизнес-правила сосредоточены в сервисе и наборе специализированных преобразователей (changers), последовательно применяемых к модели карты.</w:t>
      </w:r>
    </w:p>
    <w:p>
      <w:pPr>
        <w:pStyle w:val="ListBullet"/>
      </w:pPr>
      <w:r>
        <w:t>Ключевая идея: карта представляется как изменяемый документ (блоки и параметры), а бизнес-логика — как детерминированный конвейер обновлений, который на каждом проходе приводит значения полей в соответствие с выбранными пользователем опциями и с расчётными соотношениями, зафиксированными в коде (нормативные таблицы, эмпирические пороги по напряжению, геометрические формулы для расстояний до источника и т.п.).</w:t>
      </w:r>
    </w:p>
    <w:p>
      <w:pPr>
        <w:pStyle w:val="Heading1"/>
      </w:pPr>
      <w:r>
        <w:t>2. Модель данных технологической карты</w:t>
      </w:r>
    </w:p>
    <w:p>
      <w:r>
        <w:t>Центральная структура — класс TechCardData. Он хранит словарь блоков, каждый блок имеет имя и набор параметров. Параметр — это, как правило, словарь с полями name, val, иногда options, subtitle, typeData, а также служебными метаданными для отслеживания происхождения значения (например, флаги параметров, полученных из базы по типу сварного соединения).</w:t>
      </w:r>
    </w:p>
    <w:p>
      <w:r>
        <w:t>Шаблон карты создаётся методом TechCardService.crateTemplateTechCars: формируются блоки «ОПЕРАЦИОННАЯ ТЕХНОЛОГИЧЕСКАЯ КАРТА…», «Объект контроля», «ИСХОДНЫЕ ДАННЫЕ», «ПЕРЕЧЕНЬ ОПЕРАЦИЙ РК» и заполняется начальный набор полей. Далее из базы подставляется перечень операций (если есть строки для list_id).</w:t>
      </w:r>
    </w:p>
    <w:p>
      <w:r>
        <w:t>Операции из базы: метод _apply_operations_from_db полностью заменяет стандартные операции в блоке «ПЕРЕЧЕНЬ ОПЕРАЦИЙ РК», если в таблице есть данные: для каждой строки создаётся параметр с именем из name_param (или «Операция N»), значениями val и val2. Это отделяет «справочное наполнение» от расчётной логики, но оба механизма относятся к предметной области ОТК.</w:t>
      </w:r>
    </w:p>
    <w:p>
      <w:pPr>
        <w:pStyle w:val="Heading1"/>
      </w:pPr>
      <w:r>
        <w:t>3. Конвейер пересчёта (PipeLine)</w:t>
      </w:r>
    </w:p>
    <w:p>
      <w:r>
        <w:t>Класс PipeLine хранит упорядоченный список преобразователей IDataChanger. Метод process вызывает changeData для каждого changer на заданном индексе стадии, после чего выполняется сортировка параметров внутри блоков (sort_all_params). В текущей конфигурации все changers добавлены на индекс 0, то есть выполняются в порядке регистрации в main.create_pipeline.</w:t>
      </w:r>
    </w:p>
    <w:p>
      <w:pPr>
        <w:pStyle w:val="ListBullet"/>
      </w:pPr>
      <w:r>
        <w:t>Порядок выполнения в приложении (как в main.py):</w:t>
      </w:r>
    </w:p>
    <w:p>
      <w:pPr>
        <w:pStyle w:val="ListBullet"/>
      </w:pPr>
      <w:r>
        <w:t>ControlMethodsFromDb — методики контроля из БД.</w:t>
      </w:r>
    </w:p>
    <w:p>
      <w:pPr>
        <w:pStyle w:val="ListBullet"/>
      </w:pPr>
      <w:r>
        <w:t>RegulatoryDocumentsFromDb — нормативные документы из БД.</w:t>
      </w:r>
    </w:p>
    <w:p>
      <w:pPr>
        <w:pStyle w:val="ListBullet"/>
      </w:pPr>
      <w:r>
        <w:t>TypeOfWeldedJointFromDb — типы сварных соединений.</w:t>
      </w:r>
    </w:p>
    <w:p>
      <w:pPr>
        <w:pStyle w:val="ListBullet"/>
      </w:pPr>
      <w:r>
        <w:t>WeldedJointDiagramFromDb — схема (рисунок) для выбранного типа шва.</w:t>
      </w:r>
    </w:p>
    <w:p>
      <w:pPr>
        <w:pStyle w:val="ListBullet"/>
      </w:pPr>
      <w:r>
        <w:t>ControlSchemesFromJointTypeDb — допустимые схемы просвечивания по типу шва.</w:t>
      </w:r>
    </w:p>
    <w:p>
      <w:pPr>
        <w:pStyle w:val="ListBullet"/>
      </w:pPr>
      <w:r>
        <w:t>MaterialsFromDb — материал(ы) и связанные опции.</w:t>
      </w:r>
    </w:p>
    <w:p>
      <w:pPr>
        <w:pStyle w:val="ListBullet"/>
      </w:pPr>
      <w:r>
        <w:t>RengenApparatusFromDb — каталог ИИИ, фильтрация по предельному кВ, запись предела в поле напряжения.</w:t>
      </w:r>
    </w:p>
    <w:p>
      <w:pPr>
        <w:pStyle w:val="ListBullet"/>
      </w:pPr>
      <w:r>
        <w:t>ParamsByWeldedJointFromDb — динамические параметры «Объект контроля» по типу шва (синхронизация с БД).</w:t>
      </w:r>
    </w:p>
    <w:p>
      <w:pPr>
        <w:pStyle w:val="ListBullet"/>
      </w:pPr>
      <w:r>
        <w:t>CircButtWeldBeadFromThicknessTable — геометрия валика по таблице S→(e,g) для двух типов швов.</w:t>
      </w:r>
    </w:p>
    <w:p>
      <w:pPr>
        <w:pStyle w:val="ListBullet"/>
      </w:pPr>
      <w:r>
        <w:t>ControlSensitivityChanger — чувствительность по уровню качества и толщине.</w:t>
      </w:r>
    </w:p>
    <w:p>
      <w:pPr>
        <w:pStyle w:val="ListBullet"/>
      </w:pPr>
      <w:r>
        <w:t>RengenApparatusForPanoramicScheme — панорамная схема: фильтр аппаратов по фокусу, подсказка f.</w:t>
      </w:r>
    </w:p>
    <w:p>
      <w:pPr>
        <w:pStyle w:val="ListBullet"/>
      </w:pPr>
      <w:r>
        <w:t>RengenDistanceForDoubleWallScheme — схема «через две стенки» (7.2): нижняя граница f.</w:t>
      </w:r>
    </w:p>
    <w:p>
      <w:pPr>
        <w:pStyle w:val="ListBullet"/>
      </w:pPr>
      <w:r>
        <w:t>RengenDistanceForEllipseFrontalScheme — схема 7.3 «на эллипс»: f ≥ (2ΦdS)/K.</w:t>
      </w:r>
    </w:p>
    <w:p>
      <w:pPr>
        <w:pStyle w:val="ListBullet"/>
      </w:pPr>
      <w:r>
        <w:t>RectilinearDrDistance — прямолинейное соединение (ЦР): f по СТО Газпром (разд. 9.5.x).</w:t>
      </w:r>
    </w:p>
    <w:p>
      <w:pPr>
        <w:pStyle w:val="ListBullet"/>
      </w:pPr>
      <w:r>
        <w:t>SensitivityEtalonByMaterial — номер проволочного эталона по материалу и чувствительности.</w:t>
      </w:r>
    </w:p>
    <w:p>
      <w:pPr>
        <w:pStyle w:val="ListBullet"/>
      </w:pPr>
      <w:r>
        <w:t>RadiographicFilmFromDb — тип плёнки из БД.</w:t>
      </w:r>
    </w:p>
    <w:p>
      <w:pPr>
        <w:pStyle w:val="ListBullet"/>
      </w:pPr>
      <w:r>
        <w:t>IntensifyingScreenByVoltage — толщина усиливающего экрана по кВ.</w:t>
      </w:r>
    </w:p>
    <w:p>
      <w:pPr>
        <w:pStyle w:val="ListBullet"/>
      </w:pPr>
      <w:r>
        <w:t>ProtectiveScreenByVoltage — толщина защитного экрана по кВ.</w:t>
      </w:r>
    </w:p>
    <w:p>
      <w:pPr>
        <w:pStyle w:val="ListBullet"/>
      </w:pPr>
      <w:r>
        <w:t>ControlledZoneWidthStub — заглушка/заготовка под ширину контролируемой зоны.</w:t>
      </w:r>
    </w:p>
    <w:p>
      <w:pPr>
        <w:pStyle w:val="Heading1"/>
      </w:pPr>
      <w:r>
        <w:t>4. Детальное описание расчётной логики и таблиц</w:t>
      </w:r>
    </w:p>
    <w:p>
      <w:pPr>
        <w:pStyle w:val="Heading2"/>
      </w:pPr>
      <w:r>
        <w:t>4.1. Чувствительность контроля (ControlSensitivityChanger)</w:t>
      </w:r>
    </w:p>
    <w:p>
      <w:r>
        <w:t>Входы: «Уровень качества» (A/B/C) и «Радиационная толщина, мм». Уровень качества маппится на «класс контроля»: A→2, B→1, C→3. По таблице SENSITIVITY_TABLE выбирается строка с наименьшей верхней границей толщины max_thickness, для которой выполняется условие thickness_mm ≤ max_thickness; значение чувствительности берётся из словаря по классу. Результат записывается в параметры с именами «Чувствительность контроля, мм» или «Чувствительность контроля».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Верхняя граница t, мм</w:t>
            </w:r>
          </w:p>
        </w:tc>
        <w:tc>
          <w:tcPr>
            <w:tcW w:type="dxa" w:w="2160"/>
          </w:tcPr>
          <w:p>
            <w:r>
              <w:t>Класс 1</w:t>
            </w:r>
          </w:p>
        </w:tc>
        <w:tc>
          <w:tcPr>
            <w:tcW w:type="dxa" w:w="2160"/>
          </w:tcPr>
          <w:p>
            <w:r>
              <w:t>Класс 2</w:t>
            </w:r>
          </w:p>
        </w:tc>
        <w:tc>
          <w:tcPr>
            <w:tcW w:type="dxa" w:w="2160"/>
          </w:tcPr>
          <w:p>
            <w:r>
              <w:t>Класс 3</w:t>
            </w:r>
          </w:p>
        </w:tc>
      </w:tr>
      <w:tr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0,10</w:t>
            </w:r>
          </w:p>
        </w:tc>
        <w:tc>
          <w:tcPr>
            <w:tcW w:type="dxa" w:w="2160"/>
          </w:tcPr>
          <w:p>
            <w:r>
              <w:t>0,10</w:t>
            </w:r>
          </w:p>
        </w:tc>
        <w:tc>
          <w:tcPr>
            <w:tcW w:type="dxa" w:w="2160"/>
          </w:tcPr>
          <w:p>
            <w:r>
              <w:t>0,20</w:t>
            </w:r>
          </w:p>
        </w:tc>
      </w:tr>
      <w:tr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0,20</w:t>
            </w:r>
          </w:p>
        </w:tc>
        <w:tc>
          <w:tcPr>
            <w:tcW w:type="dxa" w:w="2160"/>
          </w:tcPr>
          <w:p>
            <w:r>
              <w:t>0,20</w:t>
            </w:r>
          </w:p>
        </w:tc>
        <w:tc>
          <w:tcPr>
            <w:tcW w:type="dxa" w:w="2160"/>
          </w:tcPr>
          <w:p>
            <w:r>
              <w:t>0,30</w:t>
            </w:r>
          </w:p>
        </w:tc>
      </w:tr>
      <w:tr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0,20</w:t>
            </w:r>
          </w:p>
        </w:tc>
        <w:tc>
          <w:tcPr>
            <w:tcW w:type="dxa" w:w="2160"/>
          </w:tcPr>
          <w:p>
            <w:r>
              <w:t>0,30</w:t>
            </w:r>
          </w:p>
        </w:tc>
        <w:tc>
          <w:tcPr>
            <w:tcW w:type="dxa" w:w="2160"/>
          </w:tcPr>
          <w:p>
            <w:r>
              <w:t>0,40</w:t>
            </w:r>
          </w:p>
        </w:tc>
      </w:tr>
      <w:tr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0,30</w:t>
            </w:r>
          </w:p>
        </w:tc>
        <w:tc>
          <w:tcPr>
            <w:tcW w:type="dxa" w:w="2160"/>
          </w:tcPr>
          <w:p>
            <w:r>
              <w:t>0,40</w:t>
            </w:r>
          </w:p>
        </w:tc>
        <w:tc>
          <w:tcPr>
            <w:tcW w:type="dxa" w:w="2160"/>
          </w:tcPr>
          <w:p>
            <w:r>
              <w:t>0,50</w:t>
            </w:r>
          </w:p>
        </w:tc>
      </w:tr>
      <w:tr>
        <w:tc>
          <w:tcPr>
            <w:tcW w:type="dxa" w:w="2160"/>
          </w:tcPr>
          <w:p>
            <w:r>
              <w:t>30.0</w:t>
            </w:r>
          </w:p>
        </w:tc>
        <w:tc>
          <w:tcPr>
            <w:tcW w:type="dxa" w:w="2160"/>
          </w:tcPr>
          <w:p>
            <w:r>
              <w:t>0,40</w:t>
            </w:r>
          </w:p>
        </w:tc>
        <w:tc>
          <w:tcPr>
            <w:tcW w:type="dxa" w:w="2160"/>
          </w:tcPr>
          <w:p>
            <w:r>
              <w:t>0,50</w:t>
            </w:r>
          </w:p>
        </w:tc>
        <w:tc>
          <w:tcPr>
            <w:tcW w:type="dxa" w:w="2160"/>
          </w:tcPr>
          <w:p>
            <w:r>
              <w:t>0,60</w:t>
            </w:r>
          </w:p>
        </w:tc>
      </w:tr>
      <w:tr>
        <w:tc>
          <w:tcPr>
            <w:tcW w:type="dxa" w:w="2160"/>
          </w:tcPr>
          <w:p>
            <w:r>
              <w:t>40.0</w:t>
            </w:r>
          </w:p>
        </w:tc>
        <w:tc>
          <w:tcPr>
            <w:tcW w:type="dxa" w:w="2160"/>
          </w:tcPr>
          <w:p>
            <w:r>
              <w:t>0,50</w:t>
            </w:r>
          </w:p>
        </w:tc>
        <w:tc>
          <w:tcPr>
            <w:tcW w:type="dxa" w:w="2160"/>
          </w:tcPr>
          <w:p>
            <w:r>
              <w:t>0,60</w:t>
            </w:r>
          </w:p>
        </w:tc>
        <w:tc>
          <w:tcPr>
            <w:tcW w:type="dxa" w:w="2160"/>
          </w:tcPr>
          <w:p>
            <w:r>
              <w:t>0,75</w:t>
            </w:r>
          </w:p>
        </w:tc>
      </w:tr>
      <w:tr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0,60</w:t>
            </w:r>
          </w:p>
        </w:tc>
        <w:tc>
          <w:tcPr>
            <w:tcW w:type="dxa" w:w="2160"/>
          </w:tcPr>
          <w:p>
            <w:r>
              <w:t>0,75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</w:tr>
      <w:tr>
        <w:tc>
          <w:tcPr>
            <w:tcW w:type="dxa" w:w="2160"/>
          </w:tcPr>
          <w:p>
            <w:r>
              <w:t>70.0</w:t>
            </w:r>
          </w:p>
        </w:tc>
        <w:tc>
          <w:tcPr>
            <w:tcW w:type="dxa" w:w="2160"/>
          </w:tcPr>
          <w:p>
            <w:r>
              <w:t>0,75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  <w:tc>
          <w:tcPr>
            <w:tcW w:type="dxa" w:w="2160"/>
          </w:tcPr>
          <w:p>
            <w:r>
              <w:t>1,25</w:t>
            </w:r>
          </w:p>
        </w:tc>
      </w:tr>
      <w:tr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1,00</w:t>
            </w:r>
          </w:p>
        </w:tc>
        <w:tc>
          <w:tcPr>
            <w:tcW w:type="dxa" w:w="2160"/>
          </w:tcPr>
          <w:p>
            <w:r>
              <w:t>1,25</w:t>
            </w:r>
          </w:p>
        </w:tc>
        <w:tc>
          <w:tcPr>
            <w:tcW w:type="dxa" w:w="2160"/>
          </w:tcPr>
          <w:p>
            <w:r>
              <w:t>1,50</w:t>
            </w:r>
          </w:p>
        </w:tc>
      </w:tr>
      <w:tr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1,25</w:t>
            </w:r>
          </w:p>
        </w:tc>
        <w:tc>
          <w:tcPr>
            <w:tcW w:type="dxa" w:w="2160"/>
          </w:tcPr>
          <w:p>
            <w:r>
              <w:t>1,50</w:t>
            </w:r>
          </w:p>
        </w:tc>
        <w:tc>
          <w:tcPr>
            <w:tcW w:type="dxa" w:w="2160"/>
          </w:tcPr>
          <w:p>
            <w:r>
              <w:t>2,00</w:t>
            </w:r>
          </w:p>
        </w:tc>
      </w:tr>
      <w:tr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1,50</w:t>
            </w:r>
          </w:p>
        </w:tc>
        <w:tc>
          <w:tcPr>
            <w:tcW w:type="dxa" w:w="2160"/>
          </w:tcPr>
          <w:p>
            <w:r>
              <w:t>2,00</w:t>
            </w:r>
          </w:p>
        </w:tc>
        <w:tc>
          <w:tcPr>
            <w:tcW w:type="dxa" w:w="2160"/>
          </w:tcPr>
          <w:p>
            <w:r>
              <w:t>2,50</w:t>
            </w:r>
          </w:p>
        </w:tc>
      </w:tr>
      <w:tr>
        <w:tc>
          <w:tcPr>
            <w:tcW w:type="dxa" w:w="2160"/>
          </w:tcPr>
          <w:p>
            <w:r>
              <w:t>300.0</w:t>
            </w:r>
          </w:p>
        </w:tc>
        <w:tc>
          <w:tcPr>
            <w:tcW w:type="dxa" w:w="2160"/>
          </w:tcPr>
          <w:p>
            <w:r>
              <w:t>2,00</w:t>
            </w:r>
          </w:p>
        </w:tc>
        <w:tc>
          <w:tcPr>
            <w:tcW w:type="dxa" w:w="2160"/>
          </w:tcPr>
          <w:p>
            <w:r>
              <w:t>2,50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400.0</w:t>
            </w:r>
          </w:p>
        </w:tc>
        <w:tc>
          <w:tcPr>
            <w:tcW w:type="dxa" w:w="2160"/>
          </w:tcPr>
          <w:p>
            <w:r>
              <w:t>2,50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Примечание: для классов 2 и 3 на последних строках таблицы в коде значения могут отсутствовать — тогда подстановка не выполняется для такой комбинации.</w:t>
      </w:r>
    </w:p>
    <w:p>
      <w:pPr>
        <w:pStyle w:val="Heading2"/>
      </w:pPr>
      <w:r>
        <w:t>4.2. Предельное напряжение на трубке и фильтрация аппаратов</w:t>
      </w:r>
    </w:p>
    <w:p>
      <w:r>
        <w:t>Модуль xray_max_kv_by_material_table определяет максимально допустимое напряжение U_max для текущей карты: запрашивается у IVoltageTubeDB по материалу и толщине. Толщина берётся в приоритете из «Номинальная толщина стенки, S, мм» (блок «Объект контроля»), иначе из «Радиационная толщина, мм» (блок «ИСХОДНЫЕ ДАННЫЕ»). Материал — из поля материала (логика MaterialsFromDb). При нехватке данных U_max = 0.</w:t>
      </w:r>
    </w:p>
    <w:p>
      <w:r>
        <w:t>В поле «Напряжение на рентгеновской трубке, не более, кВ» записывается именно рассчитанный/справочный предел (строка через format_table_kv_text), а не напряжение выбранного аппарата.</w:t>
      </w:r>
    </w:p>
    <w:p>
      <w:r>
        <w:t>Фильтрация каталога rengen_apparatus: для каждой строки извлекается числовое значение voltage_on_tube. Если оно разборчиво и строго больше U_max — аппарат исключается. Если напряжение не удаётся распарсить — строка сохраняется (не блокируем выбор из-за шума в данных).</w:t>
      </w:r>
    </w:p>
    <w:p>
      <w:pPr>
        <w:pStyle w:val="Heading2"/>
      </w:pPr>
      <w:r>
        <w:t>4.3. Геометрия валика по номинальной толщине (CircButtWeldBeadFromThicknessTable)</w:t>
      </w:r>
    </w:p>
    <w:p>
      <w:r>
        <w:t>Условие применения: блок «Объект контроля», задан тип сварного соединения и числовая «Номинальная толщина стенки, S, мм». Для типа «Стыковое кольцевое. Автоматическая, односторонняя» по таблице диапазонов S находятся e и g; e записывается в «Ширина верхнего валика, А/A, мм», g — в высоты h1 и h2. Для «Листовое сварное соединение» те же e и g идут в «e, не более» и «g». Вне таблицы значения полей не меняются.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S_min, мм</w:t>
            </w:r>
          </w:p>
        </w:tc>
        <w:tc>
          <w:tcPr>
            <w:tcW w:type="dxa" w:w="2160"/>
          </w:tcPr>
          <w:p>
            <w:r>
              <w:t>S_max, мм</w:t>
            </w:r>
          </w:p>
        </w:tc>
        <w:tc>
          <w:tcPr>
            <w:tcW w:type="dxa" w:w="2160"/>
          </w:tcPr>
          <w:p>
            <w:r>
              <w:t>e, мм</w:t>
            </w:r>
          </w:p>
        </w:tc>
        <w:tc>
          <w:tcPr>
            <w:tcW w:type="dxa" w:w="2160"/>
          </w:tcPr>
          <w:p>
            <w:r>
              <w:t>g, мм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>
      <w:pPr>
        <w:pStyle w:val="Heading2"/>
      </w:pPr>
      <w:r>
        <w:t>4.4. Панорамное просвечивание (RengenApparatusForPanoramicScheme)</w:t>
      </w:r>
    </w:p>
    <w:p>
      <w:r>
        <w:t>Активируется, если выбрана схема «Панорамное просвечивание кольцевого сварного соединения». Вводятся наружный диаметр D, толщина стенки S_st, чувствительность K. Внутренний диаметр d = D − 2·S_st. Дополнительно требуется d/D ≥ 0.8 (иначе расчёт не ведётся).</w:t>
      </w:r>
    </w:p>
    <w:p>
      <w:r>
        <w:t>Ограничение на размер фокусного пятна Φ (из каталога аппарата): Δ = D − d. Основной предел: Φ ≤ (K·d)/(2·Δ). Ослабленный (с пометкой в структуре данных): Φ ≤ (K·d)/Δ. Аппараты, не удовлетворяющие даже ослабленному пределу, исключаются из options.</w:t>
      </w:r>
    </w:p>
    <w:p>
      <w:r>
        <w:t>После выбора допустимого аппарата подсказка для расстояния f: f_min = Φ·(D − d)/K, f_max = d/2, выводится как «f_min&lt;f&lt;=f_max» (в строке подсказки знаки могут отображаться в нотации кода). Напряжение в карте снова выставляется из предела voltage_tube.</w:t>
      </w:r>
    </w:p>
    <w:p>
      <w:pPr>
        <w:pStyle w:val="Heading2"/>
      </w:pPr>
      <w:r>
        <w:t>4.5. Кольцевое соединение через две стенки — схема 7.2 (RengenDistanceForDoubleWallScheme)</w:t>
      </w:r>
    </w:p>
    <w:p>
      <w:r>
        <w:t>Активируется для схемы, содержащей фрагменты «кольцевое сварное соединение» и «через две стенки», но не путается со схемой «на эллипс» (её обрабатывает отдельный changer).</w:t>
      </w:r>
    </w:p>
    <w:p>
      <w:r>
        <w:t>Обозначения: D — наружный диаметр, S_st — толщина стенки, d = D − 2·S_st, K — чувствительность, Φ — фокусное пятно (максимум из поля), класс изображения Q ∈ {A,B,C} с множителями S: A→1.2, B→1.1, C→1.5. Радиационная толщина для выбора коэффициента c берётся как t_rad = 2·S_st.</w:t>
      </w:r>
    </w:p>
    <w:p>
      <w:r>
        <w:t>Множитель m для c = m·Φ/K зависит от Q и t_rad (логика _resolve_c_factor в коде). Итоговая нижняя граница (в коде min_distance): f_low = 1.2 · c · S · S_st − (D + d)/2, с отсечением f_low &lt; 0. Подсказка поля: «f&gt;=f_low».</w:t>
      </w:r>
    </w:p>
    <w:p>
      <w:pPr>
        <w:pStyle w:val="Heading2"/>
      </w:pPr>
      <w:r>
        <w:t>4.6. Фронтальное просвечивание «на эллипс» — схема 7.3 (RengenDistanceForEllipseFrontalScheme)</w:t>
      </w:r>
    </w:p>
    <w:p>
      <w:r>
        <w:t>Условие: в названии схемы присутствуют «фронтальное просвечивание» и «на эллипс». После проверки полноты вводимых данных: f_min = (2 · Φ · d · S) / K, где S — множитель класса A/B/C как в схеме 7.2, d — внутренний диаметр. Подсказка: «f&gt;=f_min».</w:t>
      </w:r>
    </w:p>
    <w:p>
      <w:pPr>
        <w:pStyle w:val="Heading2"/>
      </w:pPr>
      <w:r>
        <w:t>4.7. Прямолинейное сварное соединение, цифровая радиография (RectilinearDrDistance)</w:t>
      </w:r>
    </w:p>
    <w:p>
      <w:r>
        <w:t>Условие: схема содержит «прямолинейн» и «сварн». Используются t — радиационная толщина, Φ — фокус, K — чувствительность, класс Q→S_image (1.2 / 1.1 / 1.5). Опционально b — расстояние от ППД до поверхности (поиск параметра по фрагментам «детектор»/«поверхност»), по умолчанию b = 0.</w:t>
      </w:r>
    </w:p>
    <w:p>
      <w:r>
        <w:t>Множитель n в зависимости от Q и t задаётся функцией _n_phi_over_k_divisor. Далее t_sum = t + b; f_sto = n·Φ·S_image·t_sum/K; f_four = 4·t_sum; f_min = max(f_sto, f_four). Дополнительно в подсказку включается L_exposure_max = 0.8·f_min с отсылкой к п. 9.5.21 (как в коде).</w:t>
      </w:r>
    </w:p>
    <w:p>
      <w:pPr>
        <w:pStyle w:val="Heading2"/>
      </w:pPr>
      <w:r>
        <w:t>4.8. Усиливающий и защитный экраны по напряжению</w:t>
      </w:r>
    </w:p>
    <w:p>
      <w:r>
        <w:t>IntensifyingScreenByVoltage: по числовому U из поля напряжения — U ≤ 100 → «До 0,02»; U ≤ 300 → «0,05-0,09»; иначе «0,09».</w:t>
      </w:r>
    </w:p>
    <w:p>
      <w:r>
        <w:t>ProtectiveScreenByVoltage: U ≤ 200 → «До 1,0»; иначе «От 1,0 до 2,0». При неразборчивом U целевые поля обнуляются.</w:t>
      </w:r>
    </w:p>
    <w:p>
      <w:pPr>
        <w:pStyle w:val="Heading2"/>
      </w:pPr>
      <w:r>
        <w:t>4.9. Эталон чувствительности по материалу (SensitivityEtalonByMaterial)</w:t>
      </w:r>
    </w:p>
    <w:p>
      <w:r>
        <w:t>По материалу из верхнего блока определяется material_standard_id через БД. По текущей числовой чувствительности K подбирается номер эталона из WIRE_ETALON_TABLE: для каждого номинала проволоки задаётся допуск _wire_tolerance, эталон подходит, если K ≤ nominal + tolerance. Итоговая строка: «&lt;id_standard&gt;&lt;номер&gt; провол.».</w:t>
      </w:r>
    </w:p>
    <w:p>
      <w:pPr>
        <w:pStyle w:val="Heading1"/>
      </w:pPr>
      <w:r>
        <w:t>5. Синхронизация параметров объекта контроля по типу шва</w:t>
      </w:r>
    </w:p>
    <w:p>
      <w:r>
        <w:t>ParamsByWeldedJointFromDb решает задачу согласованности: при смене типа сварного соединения не должны оставаться «чужие» параметры от предыдущего типа. Параметры, добавленные из БД, помечаются метаданными (флаг происхождения и привязка welded_joint_binding к строковому значению типа). Алгоритм: удалить помеченные параметры, отсутствующие в актуальном списке имён для текущего типа; для требуемых имён — обновить подписи/метаданные с сохранением введённого пользователем val; добавить отсутствующие. Защищённые имена (например, тип соединения и схема) не удаляются этим правилом.</w:t>
      </w:r>
    </w:p>
    <w:p>
      <w:pPr>
        <w:pStyle w:val="Heading1"/>
      </w:pPr>
      <w:r>
        <w:t>6. Связность данных и типичные сценарии пересчёта</w:t>
      </w:r>
    </w:p>
    <w:p>
      <w:r>
        <w:t>Пересчёт носит итеративный характер с точки зрения пользователя: каждое изменение карты снова прогоняется через весь конвейер. Поэтому важен порядок: сначала справочники и ключевые поля (тип шва, схема, материал), затем величины, от которых зависят последующие шаги (чувствительность, аппарат, напряжение), затем зависимые экраны и подсказки расстояний.</w:t>
      </w:r>
    </w:p>
    <w:p>
      <w:r>
        <w:t>Пример сценария 1: пользователь выбирает уровень качества B и задаёт радиационную толщину 18 мм — ControlSensitivityChanger выставляет K из таблицы; далее схема панорамного контроля может отфильтровать аппараты по Φ; подсказка f будет согласована с K и геометрией.</w:t>
      </w:r>
    </w:p>
    <w:p>
      <w:r>
        <w:t>Пример сценария 2: смена материала и толщины меняет U_max в voltage_tube — сужается список ИИИ, обновляется строка напряжения, пересчитываются рекомендации по экранам.</w:t>
      </w:r>
    </w:p>
    <w:p>
      <w:r>
        <w:t>Пример сценария 3: смена типа сварного соединения — ParamsByWeldedJointFromDb перестраивает набор полей в «Объект контроля», после чего CircButtWeldBeadFromThicknessTable может заполнить величины валика, если тип и толщина попадают в таблицу.</w:t>
      </w:r>
    </w:p>
    <w:p>
      <w:pPr>
        <w:pStyle w:val="Heading1"/>
      </w:pPr>
      <w:r>
        <w:t>Приложение А. Поля начального шаблона карты (crateTemplateTechCars)</w:t>
      </w:r>
    </w:p>
    <w:p>
      <w:r>
        <w:t>Ниже перечислены параметры, которые гарантированно присутствуют в шаблоне до запуска пайплайна. После process часть полей может быть переименована, дополнена options или значениями из базы — это отражено в соответствующих changers.</w:t>
      </w:r>
    </w:p>
    <w:p>
      <w:pPr>
        <w:pStyle w:val="Heading2"/>
      </w:pPr>
      <w:r>
        <w:t>А.1. Блок «ОПЕРАЦИОННАЯ ТЕХНОЛОГИЧЕСКАЯ КАРТА…»</w:t>
      </w:r>
    </w:p>
    <w:p>
      <w:pPr>
        <w:pStyle w:val="ListBullet"/>
      </w:pPr>
      <w:r>
        <w:t>Шифр.</w:t>
      </w:r>
    </w:p>
    <w:p>
      <w:pPr>
        <w:pStyle w:val="ListBullet"/>
      </w:pPr>
      <w:r>
        <w:t>Уровень качества (варианты A, B, C).</w:t>
      </w:r>
    </w:p>
    <w:p>
      <w:pPr>
        <w:pStyle w:val="ListBullet"/>
      </w:pPr>
      <w:r>
        <w:t>НАИМЕНОВАНИЕ ОРГАНИЗАЦИИ.</w:t>
      </w:r>
    </w:p>
    <w:p>
      <w:pPr>
        <w:pStyle w:val="ListBullet"/>
      </w:pPr>
      <w:r>
        <w:t>НОМЕР ЧЕРТЕЖА (ЭСКИЗА).</w:t>
      </w:r>
    </w:p>
    <w:p>
      <w:pPr>
        <w:pStyle w:val="ListBullet"/>
      </w:pPr>
      <w:r>
        <w:t>НАИМЕНОВАНИЕ ОБЪЕКТА.</w:t>
      </w:r>
    </w:p>
    <w:p>
      <w:pPr>
        <w:pStyle w:val="ListBullet"/>
      </w:pPr>
      <w:r>
        <w:t>МЕТОДИКА КОНТРОЛЯ.</w:t>
      </w:r>
    </w:p>
    <w:p>
      <w:pPr>
        <w:pStyle w:val="ListBullet"/>
      </w:pPr>
      <w:r>
        <w:t>НОРМАТИВНЫЕ ДОКУМЕНТЫ.</w:t>
      </w:r>
    </w:p>
    <w:p>
      <w:pPr>
        <w:pStyle w:val="Heading2"/>
      </w:pPr>
      <w:r>
        <w:t>А.2. Блок «Объект контроля»</w:t>
      </w:r>
    </w:p>
    <w:p>
      <w:pPr>
        <w:pStyle w:val="ListBullet"/>
      </w:pPr>
      <w:r>
        <w:t>Тип сварного соединения — ключевой параметр; от него зависят схема, набор геометрических полей и строки справочников.</w:t>
      </w:r>
    </w:p>
    <w:p>
      <w:pPr>
        <w:pStyle w:val="ListBullet"/>
      </w:pPr>
      <w:r>
        <w:t>Далее в процессе работы пайплайна добавляются параметры из БД (диаметр, толщина, размеры валика и др.) согласно типу шва.</w:t>
      </w:r>
    </w:p>
    <w:p>
      <w:pPr>
        <w:pStyle w:val="Heading2"/>
      </w:pPr>
      <w:r>
        <w:t>А.3. Блок «ИСХОДНЫЕ ДАННЫЕ»</w:t>
      </w:r>
    </w:p>
    <w:p>
      <w:pPr>
        <w:pStyle w:val="ListBullet"/>
      </w:pPr>
      <w:r>
        <w:t>схема просвечивания — определяет, какие расчётные changers активируются.</w:t>
      </w:r>
    </w:p>
    <w:p>
      <w:pPr>
        <w:pStyle w:val="ListBullet"/>
      </w:pPr>
      <w:r>
        <w:t>Радиационная толщина, мм — используется в чувствительности, прямолинейной схеме ЦР, косвенно влияет на выбор эталона.</w:t>
      </w:r>
    </w:p>
    <w:p>
      <w:pPr>
        <w:pStyle w:val="ListBullet"/>
      </w:pPr>
      <w:r>
        <w:t>Чувствительность контроля, мм — рассчитывается по таблице или задаётся пользователем; вход для геометрии панорамы и схем 7.2/7.3.</w:t>
      </w:r>
    </w:p>
    <w:p>
      <w:pPr>
        <w:pStyle w:val="ListBullet"/>
      </w:pPr>
      <w:r>
        <w:t>Тип и номер эталона чувствительности — вывод SensitivityEtalonByMaterial.</w:t>
      </w:r>
    </w:p>
    <w:p>
      <w:pPr>
        <w:pStyle w:val="ListBullet"/>
      </w:pPr>
      <w:r>
        <w:t>Расстояние от ИИИ до поверхности контролируемого сварного соединения, мм — в карте хранится подсказка/placeholder.</w:t>
      </w:r>
    </w:p>
    <w:p>
      <w:pPr>
        <w:pStyle w:val="ListBullet"/>
      </w:pPr>
      <w:r>
        <w:t>ИИИ Рентгеновский аппарат — в процессе может быть переименован в «ИИИ»; options фильтруются по напряжению и схеме.</w:t>
      </w:r>
    </w:p>
    <w:p>
      <w:pPr>
        <w:pStyle w:val="ListBullet"/>
      </w:pPr>
      <w:r>
        <w:t>Размер фокусного пятна ИИИ, мм — подставляется из выбранного аппарата.</w:t>
      </w:r>
    </w:p>
    <w:p>
      <w:pPr>
        <w:pStyle w:val="ListBullet"/>
      </w:pPr>
      <w:r>
        <w:t>Напряжение на рентгеновской трубке, не более, кВ — предел из voltage_tube, не копируется из аппарата.</w:t>
      </w:r>
    </w:p>
    <w:p>
      <w:pPr>
        <w:pStyle w:val="ListBullet"/>
      </w:pPr>
      <w:r>
        <w:t>Тип радиографической пленки D-7 (AGFA) — из БД.</w:t>
      </w:r>
    </w:p>
    <w:p>
      <w:pPr>
        <w:pStyle w:val="ListBullet"/>
      </w:pPr>
      <w:r>
        <w:t>Тип и толщина усиливающего экрана, мм — пороговая логика по кВ.</w:t>
      </w:r>
    </w:p>
    <w:p>
      <w:pPr>
        <w:pStyle w:val="ListBullet"/>
      </w:pPr>
      <w:r>
        <w:t>Толщина защитного экрана, мм — пороговая логика по кВ.</w:t>
      </w:r>
    </w:p>
    <w:p>
      <w:pPr>
        <w:pStyle w:val="ListBullet"/>
      </w:pPr>
      <w:r>
        <w:t>Количество участков, шт.</w:t>
      </w:r>
    </w:p>
    <w:p>
      <w:pPr>
        <w:pStyle w:val="ListBullet"/>
      </w:pPr>
      <w:r>
        <w:t>Размеры оценочного участка (ширина × длина), мм.</w:t>
      </w:r>
    </w:p>
    <w:p>
      <w:pPr>
        <w:pStyle w:val="ListBullet"/>
      </w:pPr>
      <w:r>
        <w:t>Размеры радиографической пленки (ширина × длина), мм.</w:t>
      </w:r>
    </w:p>
    <w:p>
      <w:pPr>
        <w:pStyle w:val="Heading2"/>
      </w:pPr>
      <w:r>
        <w:t>А.4. Блок «ПЕРЕЧЕНЬ ОПЕРАЦИЙ РК»</w:t>
      </w:r>
    </w:p>
    <w:p>
      <w:r>
        <w:t>Изначально пустой; если в базе есть операции для выбранного list_id, блок полностью пересобирается: каждая операция — отдельный параметр с val/val2.</w:t>
      </w:r>
    </w:p>
    <w:p>
      <w:pPr>
        <w:pStyle w:val="Heading1"/>
      </w:pPr>
      <w:r>
        <w:t>Приложение Б. Словарь обозначений в формулах расстояний</w:t>
      </w:r>
    </w:p>
    <w:p>
      <w:pPr>
        <w:pStyle w:val="ListBullet"/>
      </w:pPr>
      <w:r>
        <w:t>D — наружный диаметр трубы, мм.</w:t>
      </w:r>
    </w:p>
    <w:p>
      <w:pPr>
        <w:pStyle w:val="ListBullet"/>
      </w:pPr>
      <w:r>
        <w:t>S_st или «толщина стенки» — номинальная толщина стенки в сечении кольца, мм.</w:t>
      </w:r>
    </w:p>
    <w:p>
      <w:pPr>
        <w:pStyle w:val="ListBullet"/>
      </w:pPr>
      <w:r>
        <w:t>d — внутренний диаметр: d = D − 2·S_st.</w:t>
      </w:r>
    </w:p>
    <w:p>
      <w:pPr>
        <w:pStyle w:val="ListBullet"/>
      </w:pPr>
      <w:r>
        <w:t>K — чувствительность контроля (из поля карты), мм.</w:t>
      </w:r>
    </w:p>
    <w:p>
      <w:pPr>
        <w:pStyle w:val="ListBullet"/>
      </w:pPr>
      <w:r>
        <w:t>Φ — эквивалентный максимум фокусного пятна, извлекаемый из данных аппарата/поля карты.</w:t>
      </w:r>
    </w:p>
    <w:p>
      <w:pPr>
        <w:pStyle w:val="ListBullet"/>
      </w:pPr>
      <w:r>
        <w:t>Q — уровень качества изображения в терминах A/B/C; в прямолинейной ЦР соответствует SA-R/SB-R/SC-R.</w:t>
      </w:r>
    </w:p>
    <w:p>
      <w:pPr>
        <w:pStyle w:val="ListBullet"/>
      </w:pPr>
      <w:r>
        <w:t>S или S_image — множитель класса изображения в формулах (1.2 / 1.1 / 1.5 в зависимости от сценария).</w:t>
      </w:r>
    </w:p>
    <w:p>
      <w:pPr>
        <w:pStyle w:val="ListBullet"/>
      </w:pPr>
      <w:r>
        <w:t>t — радиационная толщина, мм.</w:t>
      </w:r>
    </w:p>
    <w:p>
      <w:pPr>
        <w:pStyle w:val="ListBullet"/>
      </w:pPr>
      <w:r>
        <w:t>b — расстояние от плоскости приёмника до поверхности металла (если задано отдельным полем), мм.</w:t>
      </w:r>
    </w:p>
    <w:p>
      <w:pPr>
        <w:pStyle w:val="ListBullet"/>
      </w:pPr>
      <w:r>
        <w:t>f — расстояние от источника (ИИИ) до поверхности контролируемого соединения; в интерфейсе задаётся подсказкой.</w:t>
      </w:r>
    </w:p>
    <w:p>
      <w:pPr>
        <w:pStyle w:val="Heading1"/>
      </w:pPr>
      <w:r>
        <w:t>7. Ограничения и допущения, зафиксированные в коде</w:t>
      </w:r>
    </w:p>
    <w:p>
      <w:pPr>
        <w:pStyle w:val="ListBullet"/>
      </w:pPr>
      <w:r>
        <w:t>Часть нормативных коэффициентов и таблиц перенесена в код буквально; при обновлении НД необходима ревизия соответствующих модулей.</w:t>
      </w:r>
    </w:p>
    <w:p>
      <w:pPr>
        <w:pStyle w:val="ListBullet"/>
      </w:pPr>
      <w:r>
        <w:t>При отсутствии данных (None, неразборчивый ввод) многие changers намеренно «молчат» — не пишут число, чтобы не вводить пользователя в заблуждение.</w:t>
      </w:r>
    </w:p>
    <w:p>
      <w:pPr>
        <w:pStyle w:val="ListBullet"/>
      </w:pPr>
      <w:r>
        <w:t>Парсинг чисел допускает запятую как десятичный разделитель и извлечение первого числа из строки.</w:t>
      </w:r>
    </w:p>
    <w:p>
      <w:pPr>
        <w:pStyle w:val="ListBullet"/>
      </w:pPr>
      <w:r>
        <w:t>Метрики качества архитектуры (Мартин) к предметной логике не относятся; данный документ описывает именно содержательную часть слоя services.</w:t>
      </w:r>
    </w:p>
    <w:p>
      <w:pPr>
        <w:pStyle w:val="Heading1"/>
      </w:pPr>
      <w:r>
        <w:t>8. Заключение</w:t>
      </w:r>
    </w:p>
    <w:p>
      <w:r>
        <w:t>Слой бизнес-логики проекта представляет собой совокупность правил преобразования операционной технологической карты радиографического контроля. Его содержание определяется набором модулей в services/Changers и orchestration в TechCardService/PipeLine. Документ может служить приложением к пояснительной записке: он фиксирует входы, выходы, табличные зависимости и расчётные соотношения в терминах предметной области.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