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Описание скорректированных метрик архитектуры</w:t>
      </w:r>
    </w:p>
    <w:p>
      <w:r>
        <w:t>Дата формирования: 23.04.2026 22:25</w:t>
      </w:r>
    </w:p>
    <w:p>
      <w:r>
        <w:t>Документ описывает предоставленные значения метрик для слоев adapter, controllers, services, repositories. Используются показатели внешних и входящих зависимостей (out/in), количества абстракций (NA), общего числа классов (NC), а также метрики Роберта Мартина: I, A и D.</w:t>
      </w:r>
    </w:p>
    <w:p>
      <w:pPr>
        <w:pStyle w:val="Heading1"/>
      </w:pPr>
      <w:r>
        <w:t>1. Что означают метрики</w:t>
      </w:r>
    </w:p>
    <w:p>
      <w:pPr>
        <w:pStyle w:val="ListBullet"/>
      </w:pPr>
      <w:r>
        <w:t>I (Instability) = out / (out + in): чем выше I, тем более «изменчив» слой.</w:t>
      </w:r>
    </w:p>
    <w:p>
      <w:pPr>
        <w:pStyle w:val="ListBullet"/>
      </w:pPr>
      <w:r>
        <w:t>A (Abstractness) = NA / NC: доля абстрактных классов в слое.</w:t>
      </w:r>
    </w:p>
    <w:p>
      <w:pPr>
        <w:pStyle w:val="ListBullet"/>
      </w:pPr>
      <w:r>
        <w:t>D = |A + I - 1|: расстояние до Main Sequence (чем ближе к 0, тем лучше баланс).</w:t>
      </w:r>
    </w:p>
    <w:p>
      <w:pPr>
        <w:pStyle w:val="Heading1"/>
      </w:pPr>
      <w:r>
        <w:t>2. Входные данные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Layer</w:t>
            </w:r>
          </w:p>
        </w:tc>
        <w:tc>
          <w:tcPr>
            <w:tcW w:type="dxa" w:w="1080"/>
          </w:tcPr>
          <w:p>
            <w:r>
              <w:t>out</w:t>
            </w:r>
          </w:p>
        </w:tc>
        <w:tc>
          <w:tcPr>
            <w:tcW w:type="dxa" w:w="1080"/>
          </w:tcPr>
          <w:p>
            <w:r>
              <w:t>in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NC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D</w:t>
            </w:r>
          </w:p>
        </w:tc>
      </w:tr>
      <w:tr>
        <w:tc>
          <w:tcPr>
            <w:tcW w:type="dxa" w:w="1080"/>
          </w:tcPr>
          <w:p>
            <w:r>
              <w:t>adapter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controllers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0.500</w:t>
            </w:r>
          </w:p>
        </w:tc>
        <w:tc>
          <w:tcPr>
            <w:tcW w:type="dxa" w:w="1080"/>
          </w:tcPr>
          <w:p>
            <w:r>
              <w:t>0.500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0.880</w:t>
            </w:r>
          </w:p>
        </w:tc>
        <w:tc>
          <w:tcPr>
            <w:tcW w:type="dxa" w:w="1080"/>
          </w:tcPr>
          <w:p>
            <w:r>
              <w:t>0.120</w:t>
            </w:r>
          </w:p>
        </w:tc>
      </w:tr>
      <w:tr>
        <w:tc>
          <w:tcPr>
            <w:tcW w:type="dxa" w:w="1080"/>
          </w:tcPr>
          <w:p>
            <w:r>
              <w:t>repositories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</w:tbl>
    <w:p>
      <w:pPr>
        <w:pStyle w:val="Heading1"/>
      </w:pPr>
      <w:r>
        <w:t>3. Интерпретация по слоям</w:t>
      </w:r>
    </w:p>
    <w:p>
      <w:r>
        <w:t>adapter: I=1.000 и A=0.000 при D=0.000. Слой полностью нестабилен (исходит наружу, входящих связей нет), но находится на Main Sequence.</w:t>
      </w:r>
    </w:p>
    <w:p>
      <w:r>
        <w:t>controllers: I=0.500 и A=0.500, D=0.000. Наиболее сбалансированная точка: равновесие между зависимостями и абстракциями.</w:t>
      </w:r>
    </w:p>
    <w:p>
      <w:r>
        <w:t>services: I=0.000 и A=0.880, D=0.120. Слой очень стабильный и при этом высоко абстрактный. Отклонение от Main Sequence умеренное, но приемлемое.</w:t>
      </w:r>
    </w:p>
    <w:p>
      <w:r>
        <w:t>repositories: I=1.000, A=0.000, D=0.000. Метрика указывает на полностью нестабильный слой без абстракций, формально на Main Sequence.</w:t>
      </w:r>
    </w:p>
    <w:p>
      <w:pPr>
        <w:pStyle w:val="Heading1"/>
      </w:pPr>
      <w:r>
        <w:t>4. Общий вывод</w:t>
      </w:r>
    </w:p>
    <w:p>
      <w:r>
        <w:t>Среднее расстояние до Main Sequence по четырем слоям составляет 0.030. Это указывает на в целом хорошую сбалансированность архитектуры по выбранным данным.</w:t>
      </w:r>
    </w:p>
    <w:p>
      <w:r>
        <w:t>Рекомендуется в следующей итерации дополнительно проверить направленность межслойных зависимостей и наличие циклов, чтобы подтвердить качество не только по геометрии точки (A, I), но и по структуре графа зависимостей.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