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ГЛАВА 4. ОЦЕНКА КАЧЕСТВА АРХИТЕКТУРЫ ПО МЕТОДИКЕ РОБЕРТА МАРТИНА</w:t>
      </w:r>
    </w:p>
    <w:p>
      <w:r>
        <w:t>Дата формирования расчетов: 23.04.2026 21:04</w:t>
      </w:r>
    </w:p>
    <w:p>
      <w:pPr>
        <w:pStyle w:val="Heading1"/>
      </w:pPr>
      <w:r>
        <w:t>4.1 Цель и постановка задачи</w:t>
      </w:r>
    </w:p>
    <w:p>
      <w:r>
        <w:t>Цель главы — количественно оценить архитектурное состояние программной системы на основе метрик, предложенных Робертом Мартином (Robert C. Martin), и сформировать вывод о степени сбалансированности слоев, устойчивости зависимостей и уровне архитектурного риска.</w:t>
      </w:r>
    </w:p>
    <w:p>
      <w:r>
        <w:t>Оценка выполняется для runtime-части приложения. Из расчета исключены тестовые, ресурсные и вспомогательные директории, которые не участвуют в рабочем контуре выполнения серверного приложения.</w:t>
      </w:r>
    </w:p>
    <w:p>
      <w:pPr>
        <w:pStyle w:val="Heading1"/>
      </w:pPr>
      <w:r>
        <w:t>4.2 Теоретическая основа методики</w:t>
      </w:r>
    </w:p>
    <w:p>
      <w:r>
        <w:t>В методике Роберта Мартина архитектурное качество рассматривается через баланс двух свойств пакета (или слоя): абстрактности и нестабильности.</w:t>
      </w:r>
    </w:p>
    <w:p>
      <w:pPr>
        <w:pStyle w:val="ListBullet"/>
      </w:pPr>
      <w:r>
        <w:t>A (Abstractness) = Na / Nc, где Na — число абстрактных классов, Nc — общее число классов.</w:t>
      </w:r>
    </w:p>
    <w:p>
      <w:pPr>
        <w:pStyle w:val="ListBullet"/>
      </w:pPr>
      <w:r>
        <w:t>I (Instability) = Ce / (Ca + Ce), где Ce — исходящие зависимости, Ca — входящие зависимости.</w:t>
      </w:r>
    </w:p>
    <w:p>
      <w:pPr>
        <w:pStyle w:val="ListBullet"/>
      </w:pPr>
      <w:r>
        <w:t>D (Distance) = |A + I - 1| — расстояние до «главной последовательности» (Main Sequence).</w:t>
      </w:r>
    </w:p>
    <w:p>
      <w:pPr>
        <w:pStyle w:val="ListBullet"/>
      </w:pPr>
      <w:r>
        <w:t>Main Sequence определяется уравнением A + I = 1.</w:t>
      </w:r>
    </w:p>
    <w:p>
      <w:r>
        <w:t>Чем меньше D, тем гармоничнее слой: он не является одновременно слишком стабильным и конкретным («зона боли»), либо слишком абстрактным и нестабильным («зона бесполезности»).</w:t>
      </w:r>
    </w:p>
    <w:p>
      <w:pPr>
        <w:pStyle w:val="Heading1"/>
      </w:pPr>
      <w:r>
        <w:t>4.3 Объект и границы расчета</w:t>
      </w:r>
    </w:p>
    <w:p>
      <w:r>
        <w:t>В текущем проекте выделены слои:</w:t>
      </w:r>
    </w:p>
    <w:p>
      <w:pPr>
        <w:pStyle w:val="ListBullet"/>
      </w:pPr>
      <w:r>
        <w:t>adapter</w:t>
      </w:r>
    </w:p>
    <w:p>
      <w:pPr>
        <w:pStyle w:val="ListBullet"/>
      </w:pPr>
      <w:r>
        <w:t>controllers</w:t>
      </w:r>
    </w:p>
    <w:p>
      <w:pPr>
        <w:pStyle w:val="ListBullet"/>
      </w:pPr>
      <w:r>
        <w:t>services</w:t>
      </w:r>
    </w:p>
    <w:p>
      <w:pPr>
        <w:pStyle w:val="ListBullet"/>
      </w:pPr>
      <w:r>
        <w:t>repositories</w:t>
      </w:r>
    </w:p>
    <w:p>
      <w:r>
        <w:t>Принята следующая целевая направленность зависимостей между слоями: adapter -&gt; controllers -&gt; services -&gt; repositories. Прямые «перепрыгивания» и обратные зависимости считаются нарушениями.</w:t>
      </w:r>
    </w:p>
    <w:p>
      <w:r>
        <w:t>Количество модулей, участвующих в расчете: 59.</w:t>
      </w:r>
    </w:p>
    <w:p>
      <w:pPr>
        <w:pStyle w:val="Heading1"/>
      </w:pPr>
      <w:r>
        <w:t>4.4 Результаты расчета базовых метрик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Слой</w:t>
            </w:r>
          </w:p>
        </w:tc>
        <w:tc>
          <w:tcPr>
            <w:tcW w:type="dxa" w:w="1080"/>
          </w:tcPr>
          <w:p>
            <w:r>
              <w:t>Nc</w:t>
            </w:r>
          </w:p>
        </w:tc>
        <w:tc>
          <w:tcPr>
            <w:tcW w:type="dxa" w:w="1080"/>
          </w:tcPr>
          <w:p>
            <w:r>
              <w:t>Na</w:t>
            </w:r>
          </w:p>
        </w:tc>
        <w:tc>
          <w:tcPr>
            <w:tcW w:type="dxa" w:w="1080"/>
          </w:tcPr>
          <w:p>
            <w:r>
              <w:t>Ca</w:t>
            </w:r>
          </w:p>
        </w:tc>
        <w:tc>
          <w:tcPr>
            <w:tcW w:type="dxa" w:w="1080"/>
          </w:tcPr>
          <w:p>
            <w:r>
              <w:t>Ce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I</w:t>
            </w:r>
          </w:p>
        </w:tc>
        <w:tc>
          <w:tcPr>
            <w:tcW w:type="dxa" w:w="1080"/>
          </w:tcPr>
          <w:p>
            <w:r>
              <w:t>D</w:t>
            </w:r>
          </w:p>
        </w:tc>
      </w:tr>
      <w:tr>
        <w:tc>
          <w:tcPr>
            <w:tcW w:type="dxa" w:w="1080"/>
          </w:tcPr>
          <w:p>
            <w:r>
              <w:t>adapter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  <w:tc>
          <w:tcPr>
            <w:tcW w:type="dxa" w:w="1080"/>
          </w:tcPr>
          <w:p>
            <w:r>
              <w:t>1.000</w:t>
            </w:r>
          </w:p>
        </w:tc>
        <w:tc>
          <w:tcPr>
            <w:tcW w:type="dxa" w:w="1080"/>
          </w:tcPr>
          <w:p>
            <w:r>
              <w:t>0.000</w:t>
            </w:r>
          </w:p>
        </w:tc>
      </w:tr>
      <w:tr>
        <w:tc>
          <w:tcPr>
            <w:tcW w:type="dxa" w:w="1080"/>
          </w:tcPr>
          <w:p>
            <w:r>
              <w:t>controllers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0.500</w:t>
            </w:r>
          </w:p>
        </w:tc>
        <w:tc>
          <w:tcPr>
            <w:tcW w:type="dxa" w:w="1080"/>
          </w:tcPr>
          <w:p>
            <w:r>
              <w:t>0.667</w:t>
            </w:r>
          </w:p>
        </w:tc>
        <w:tc>
          <w:tcPr>
            <w:tcW w:type="dxa" w:w="1080"/>
          </w:tcPr>
          <w:p>
            <w:r>
              <w:t>0.167</w:t>
            </w:r>
          </w:p>
        </w:tc>
      </w:tr>
      <w:tr>
        <w:tc>
          <w:tcPr>
            <w:tcW w:type="dxa" w:w="1080"/>
          </w:tcPr>
          <w:p>
            <w:r>
              <w:t>services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0.051</w:t>
            </w:r>
          </w:p>
        </w:tc>
        <w:tc>
          <w:tcPr>
            <w:tcW w:type="dxa" w:w="1080"/>
          </w:tcPr>
          <w:p>
            <w:r>
              <w:t>0.786</w:t>
            </w:r>
          </w:p>
        </w:tc>
        <w:tc>
          <w:tcPr>
            <w:tcW w:type="dxa" w:w="1080"/>
          </w:tcPr>
          <w:p>
            <w:r>
              <w:t>0.163</w:t>
            </w:r>
          </w:p>
        </w:tc>
      </w:tr>
      <w:tr>
        <w:tc>
          <w:tcPr>
            <w:tcW w:type="dxa" w:w="1080"/>
          </w:tcPr>
          <w:p>
            <w:r>
              <w:t>repositories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0.923</w:t>
            </w:r>
          </w:p>
        </w:tc>
        <w:tc>
          <w:tcPr>
            <w:tcW w:type="dxa" w:w="1080"/>
          </w:tcPr>
          <w:p>
            <w:r>
              <w:t>0.071</w:t>
            </w:r>
          </w:p>
        </w:tc>
        <w:tc>
          <w:tcPr>
            <w:tcW w:type="dxa" w:w="1080"/>
          </w:tcPr>
          <w:p>
            <w:r>
              <w:t>0.005</w:t>
            </w:r>
          </w:p>
        </w:tc>
      </w:tr>
    </w:tbl>
    <w:p>
      <w:r>
        <w:t>Интерпретация: слой repositories близок к устойчивому и абстрактному профилю (малое D), слой services демонстрирует рабочий баланс, controllers и adapter имеют высокую нестабильность, что типично для внешних слоев приложения.</w:t>
      </w:r>
    </w:p>
    <w:p>
      <w:pPr>
        <w:pStyle w:val="Heading1"/>
      </w:pPr>
      <w:r>
        <w:t>4.5 Анализ нарушений направленности и циклов</w:t>
      </w:r>
    </w:p>
    <w:p>
      <w:r>
        <w:t>Зафиксированные нарушения направленности зависимостей:</w:t>
      </w:r>
    </w:p>
    <w:p>
      <w:pPr>
        <w:pStyle w:val="ListBullet"/>
      </w:pPr>
      <w:r>
        <w:t>repositories.postgresDataBase -&gt; services.tech_card</w:t>
      </w:r>
    </w:p>
    <w:p>
      <w:r>
        <w:t>Обнаруженные циклы между слоями:</w:t>
      </w:r>
    </w:p>
    <w:p>
      <w:pPr>
        <w:pStyle w:val="ListBullet"/>
      </w:pPr>
      <w:r>
        <w:t>repositories &lt;-&gt; services</w:t>
      </w:r>
    </w:p>
    <w:p>
      <w:r>
        <w:t>Наличие циклов рассматривается как архитектурный риск, поскольку усиливает связность и осложняет независимое развитие компонентов.</w:t>
      </w:r>
    </w:p>
    <w:p>
      <w:pPr>
        <w:pStyle w:val="Heading1"/>
      </w:pPr>
      <w:r>
        <w:t>4.6 Интегральный индекс качества архитектуры</w:t>
      </w:r>
    </w:p>
    <w:p>
      <w:r>
        <w:t>Для комплексной оценки в рамках дипломной работы используется инженерная агрегатная шкала, объединяющая три блока качества:</w:t>
      </w:r>
    </w:p>
    <w:p>
      <w:pPr>
        <w:pStyle w:val="ListNumber"/>
      </w:pPr>
      <w:r>
        <w:t>50% — близость к Main Sequence (среднее значение D по слоям).</w:t>
      </w:r>
    </w:p>
    <w:p>
      <w:pPr>
        <w:pStyle w:val="ListNumber"/>
      </w:pPr>
      <w:r>
        <w:t>30% — соблюдение направленности зависимостей между слоями.</w:t>
      </w:r>
    </w:p>
    <w:p>
      <w:pPr>
        <w:pStyle w:val="ListNumber"/>
      </w:pPr>
      <w:r>
        <w:t>20% — отсутствие циклов между слоями.</w:t>
      </w:r>
    </w:p>
    <w:p>
      <w:r>
        <w:t>Main Sequence Score: 91.62 / 100</w:t>
      </w:r>
    </w:p>
    <w:p>
      <w:r>
        <w:t>Layering Score: 95.00 / 100</w:t>
      </w:r>
    </w:p>
    <w:p>
      <w:r>
        <w:t>Cycle Score: 75.00 / 100</w:t>
      </w:r>
    </w:p>
    <w:p>
      <w:r>
        <w:t>Architecture Quality Index: 89.31 / 100</w:t>
      </w:r>
    </w:p>
    <w:p>
      <w:r>
        <w:t>Полученный итоговый индекс отражает качественно хорошее состояние архитектуры и подтверждает практическую пригодность выбранного архитектурного подхода для дальнейшего развития системы.</w:t>
      </w:r>
    </w:p>
    <w:p>
      <w:pPr>
        <w:pStyle w:val="Heading1"/>
      </w:pPr>
      <w:r>
        <w:t>4.7 Практическая интерпретация результатов</w:t>
      </w:r>
    </w:p>
    <w:p>
      <w:pPr>
        <w:pStyle w:val="ListBullet"/>
      </w:pPr>
      <w:r>
        <w:t>Сильная сторона: высокая близость слоев к Main Sequence (низкая средняя D).</w:t>
      </w:r>
    </w:p>
    <w:p>
      <w:pPr>
        <w:pStyle w:val="ListBullet"/>
      </w:pPr>
      <w:r>
        <w:t>Сильная сторона: в runtime-контуре минимальное число нарушений направленности.</w:t>
      </w:r>
    </w:p>
    <w:p>
      <w:pPr>
        <w:pStyle w:val="ListBullet"/>
      </w:pPr>
      <w:r>
        <w:t>Риск: наличие цикла между внутренними слоями требует целевого рефакторинга.</w:t>
      </w:r>
    </w:p>
    <w:p>
      <w:pPr>
        <w:pStyle w:val="ListBullet"/>
      </w:pPr>
      <w:r>
        <w:t>Риск: высокая чувствительность метрик для слоев с малым числом классов.</w:t>
      </w:r>
    </w:p>
    <w:p>
      <w:pPr>
        <w:pStyle w:val="ListBullet"/>
      </w:pPr>
      <w:r>
        <w:t>Потенциал роста: дальнейшая декомпозиция зависимостей services/repositories.</w:t>
      </w:r>
    </w:p>
    <w:p>
      <w:pPr>
        <w:pStyle w:val="Heading1"/>
      </w:pPr>
      <w:r>
        <w:t>4.8 Рекомендации по повышению архитектурного качества</w:t>
      </w:r>
    </w:p>
    <w:p>
      <w:pPr>
        <w:pStyle w:val="ListNumber"/>
      </w:pPr>
      <w:r>
        <w:t>Разорвать циклическую зависимость между services и repositories через выделение независимых контрактов.</w:t>
      </w:r>
    </w:p>
    <w:p>
      <w:pPr>
        <w:pStyle w:val="ListNumber"/>
      </w:pPr>
      <w:r>
        <w:t>Сохранить adapter как отдельный внешний слой и не допускать его прямых зависимостей на repositories.</w:t>
      </w:r>
    </w:p>
    <w:p>
      <w:pPr>
        <w:pStyle w:val="ListNumber"/>
      </w:pPr>
      <w:r>
        <w:t>Усилить слой application-сервисов типизированными контрактами вместо динамических проверок.</w:t>
      </w:r>
    </w:p>
    <w:p>
      <w:pPr>
        <w:pStyle w:val="ListNumber"/>
      </w:pPr>
      <w:r>
        <w:t>Продолжить вынос инфраструктурных деталей из бизнес-правил в dedicated adapters/repositories.</w:t>
      </w:r>
    </w:p>
    <w:p>
      <w:pPr>
        <w:pStyle w:val="ListNumber"/>
      </w:pPr>
      <w:r>
        <w:t>Периодически пересчитывать метрики после значимых архитектурных изменений.</w:t>
      </w:r>
    </w:p>
    <w:p>
      <w:pPr>
        <w:pStyle w:val="Heading1"/>
      </w:pPr>
      <w:r>
        <w:t>4.9 Выводы по главе</w:t>
      </w:r>
    </w:p>
    <w:p>
      <w:r>
        <w:t>Проведенный количественный анализ по методике Роберта Мартина показал, что архитектура приложения в целом сбалансирована и демонстрирует хороший уровень структурной зрелости. Архитектурные ограничения и технический долг локализованы, а ключевые риски четко идентифицированы. Это позволяет использовать полученные результаты как доказательную базу в дипломной работе и как план улучшений на последующие этапы развития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