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Подробное описание changer RectilinearDrDistance</w:t>
      </w:r>
    </w:p>
    <w:p>
      <w:r>
        <w:t>Документ подготовлен по модулю `services/Changers/ch_RectilinearDrDistance.py`. Дата: 24.04.2026 18:52.</w:t>
      </w:r>
    </w:p>
    <w:p>
      <w:r>
        <w:t>Назначение changer-а: для прямолинейного сварного соединения в цифровой радиографии рассчитывать минимально допустимое расстояние f от источника излучения до поверхности объекта контроля и предельную длину участка экспонирования Lуч.</w:t>
      </w:r>
    </w:p>
    <w:p>
      <w:pPr>
        <w:pStyle w:val="Heading1"/>
      </w:pPr>
      <w:r>
        <w:t>1. Обозначения и входные параметры</w:t>
      </w:r>
    </w:p>
    <w:p>
      <w:pPr>
        <w:pStyle w:val="ListBullet"/>
      </w:pPr>
      <w:r>
        <w:t>t — радиационная толщина, мм (поле «Радиационная толщина, мм»).</w:t>
      </w:r>
    </w:p>
    <w:p>
      <w:pPr>
        <w:pStyle w:val="ListBullet"/>
      </w:pPr>
      <w:r>
        <w:t>Φ — размер фокусного пятна ИИИ, мм.</w:t>
      </w:r>
    </w:p>
    <w:p>
      <w:pPr>
        <w:pStyle w:val="ListBullet"/>
      </w:pPr>
      <w:r>
        <w:t>K — чувствительность контроля, мм.</w:t>
      </w:r>
    </w:p>
    <w:p>
      <w:pPr>
        <w:pStyle w:val="ListBullet"/>
      </w:pPr>
      <w:r>
        <w:t>Q — уровень качества изображения (A/B/C).</w:t>
      </w:r>
    </w:p>
    <w:p>
      <w:pPr>
        <w:pStyle w:val="ListBullet"/>
      </w:pPr>
      <w:r>
        <w:t>S_img — коэффициент класса изображения: A-&gt;1.2, B-&gt;1.1, C-&gt;1.5.</w:t>
      </w:r>
    </w:p>
    <w:p>
      <w:pPr>
        <w:pStyle w:val="ListBullet"/>
      </w:pPr>
      <w:r>
        <w:t>n — коэффициент, зависящий от Q и t (табличная piecewise-функция).</w:t>
      </w:r>
    </w:p>
    <w:p>
      <w:pPr>
        <w:pStyle w:val="ListBullet"/>
      </w:pPr>
      <w:r>
        <w:t>b — расстояние от ППД до поверхности металла, мм (если поле найдено; иначе 0).</w:t>
      </w:r>
    </w:p>
    <w:p>
      <w:pPr>
        <w:pStyle w:val="ListBullet"/>
      </w:pPr>
      <w:r>
        <w:t>t_sum — эффективная толщина в формуле: t + b.</w:t>
      </w:r>
    </w:p>
    <w:p>
      <w:pPr>
        <w:pStyle w:val="ListBullet"/>
      </w:pPr>
      <w:r>
        <w:t>f_sto — значение f по основной формуле СТО Газпром.</w:t>
      </w:r>
    </w:p>
    <w:p>
      <w:pPr>
        <w:pStyle w:val="ListBullet"/>
      </w:pPr>
      <w:r>
        <w:t>f_four — нижний страховочный предел 4*(t+b).</w:t>
      </w:r>
    </w:p>
    <w:p>
      <w:pPr>
        <w:pStyle w:val="ListBullet"/>
      </w:pPr>
      <w:r>
        <w:t>f_min — итоговая минимальная граница расстояния.</w:t>
      </w:r>
    </w:p>
    <w:p>
      <w:pPr>
        <w:pStyle w:val="ListBullet"/>
      </w:pPr>
      <w:r>
        <w:t>Lуч_max — предельная длина участка экспонирования.</w:t>
      </w:r>
    </w:p>
    <w:p>
      <w:pPr>
        <w:pStyle w:val="Heading1"/>
      </w:pPr>
      <w:r>
        <w:t>2. Условия активации</w:t>
      </w:r>
    </w:p>
    <w:p>
      <w:r>
        <w:t>Расчет активируется только для схем, распознаваемых как «Прямолинейное сварное соединение» (по фрагментам названия схемы).</w:t>
      </w:r>
    </w:p>
    <w:p>
      <w:pPr>
        <w:pStyle w:val="ListBullet"/>
      </w:pPr>
      <w:r>
        <w:t>Требуется блок «ИСХОДНЫЕ ДАННЫЕ».</w:t>
      </w:r>
    </w:p>
    <w:p>
      <w:pPr>
        <w:pStyle w:val="ListBullet"/>
      </w:pPr>
      <w:r>
        <w:t>Должны быть валидны t, Φ, K и Q.</w:t>
      </w:r>
    </w:p>
    <w:p>
      <w:pPr>
        <w:pStyle w:val="ListBullet"/>
      </w:pPr>
      <w:r>
        <w:t>Ограничения: t &gt; 0, K &gt; 0.</w:t>
      </w:r>
    </w:p>
    <w:p>
      <w:pPr>
        <w:pStyle w:val="ListBullet"/>
      </w:pPr>
      <w:r>
        <w:t>Если условия не выполнены — placeholder/hint расстояния очищается (None).</w:t>
      </w:r>
    </w:p>
    <w:p>
      <w:pPr>
        <w:pStyle w:val="Heading1"/>
      </w:pPr>
      <w:r>
        <w:t>3. Формулы и инженерная модель</w:t>
      </w:r>
    </w:p>
    <w:p>
      <w:pPr>
        <w:pStyle w:val="Heading2"/>
      </w:pPr>
      <w:r>
        <w:t>3.1 Основная формула</w:t>
      </w:r>
    </w:p>
    <w:p>
      <w:r>
        <w:t>Согласно реализованной логике (СТО Газпром, разд. 9.5.x):</w:t>
      </w:r>
    </w:p>
    <w:p>
      <w:pPr>
        <w:pStyle w:val="ListBullet"/>
      </w:pPr>
      <w:r>
        <w:t>f = c * S_img * (t + b), где c = n * Φ / K</w:t>
      </w:r>
    </w:p>
    <w:p>
      <w:r>
        <w:t>Эквивалентная форма:</w:t>
      </w:r>
    </w:p>
    <w:p>
      <w:pPr>
        <w:pStyle w:val="ListBullet"/>
      </w:pPr>
      <w:r>
        <w:t>f_sto = n * Φ * S_img * (t + b) / K</w:t>
      </w:r>
    </w:p>
    <w:p>
      <w:pPr>
        <w:pStyle w:val="Heading2"/>
      </w:pPr>
      <w:r>
        <w:t>3.2 Страховочное ограничение</w:t>
      </w:r>
    </w:p>
    <w:p>
      <w:r>
        <w:t>Дополнительно применяется нижняя граница:</w:t>
      </w:r>
    </w:p>
    <w:p>
      <w:pPr>
        <w:pStyle w:val="ListBullet"/>
      </w:pPr>
      <w:r>
        <w:t>f_four = 4 * (t + b)</w:t>
      </w:r>
    </w:p>
    <w:p>
      <w:r>
        <w:t>Итоговое минимальное расстояние:</w:t>
      </w:r>
    </w:p>
    <w:p>
      <w:pPr>
        <w:pStyle w:val="ListBullet"/>
      </w:pPr>
      <w:r>
        <w:t>f_min = max(f_sto, f_four)</w:t>
      </w:r>
    </w:p>
    <w:p>
      <w:pPr>
        <w:pStyle w:val="Heading2"/>
      </w:pPr>
      <w:r>
        <w:t>3.3 Ограничение по длине участка экспонирования</w:t>
      </w:r>
    </w:p>
    <w:p>
      <w:r>
        <w:t>В коде дополнительно рассчитывается:</w:t>
      </w:r>
    </w:p>
    <w:p>
      <w:pPr>
        <w:pStyle w:val="ListBullet"/>
      </w:pPr>
      <w:r>
        <w:t>Lуч_max = 0.8 * f_min</w:t>
      </w:r>
    </w:p>
    <w:p>
      <w:r>
        <w:t>Подсказка в карту выводится в формате «f≥...; Lуч≤... (п. 9.5.21)».</w:t>
      </w:r>
    </w:p>
    <w:p>
      <w:pPr>
        <w:pStyle w:val="Heading1"/>
      </w:pPr>
      <w:r>
        <w:t>4. Табличная логика коэффициента n</w:t>
      </w:r>
    </w:p>
    <w:p>
      <w:r>
        <w:t>Функция _n_phi_over_k_divisor задает n в зависимости от Q и t:</w:t>
      </w:r>
    </w:p>
    <w:p>
      <w:pPr>
        <w:pStyle w:val="ListBullet"/>
      </w:pPr>
      <w:r>
        <w:t>Q=A: n=2 при t&lt;50; n=3 при 50&lt;=t&lt;=100; n=4 при t&gt;100.</w:t>
      </w:r>
    </w:p>
    <w:p>
      <w:pPr>
        <w:pStyle w:val="ListBullet"/>
      </w:pPr>
      <w:r>
        <w:t>Q=B: n=2 при t&lt;=100; n=3 при t&gt;100.</w:t>
      </w:r>
    </w:p>
    <w:p>
      <w:pPr>
        <w:pStyle w:val="ListBullet"/>
      </w:pPr>
      <w:r>
        <w:t>Q=C: n=2.</w:t>
      </w:r>
    </w:p>
    <w:p>
      <w:pPr>
        <w:pStyle w:val="Heading1"/>
      </w:pPr>
      <w:r>
        <w:t>5. Пошаговый алгоритм работы changer-а</w:t>
      </w:r>
    </w:p>
    <w:p>
      <w:pPr>
        <w:pStyle w:val="ListBullet"/>
      </w:pPr>
      <w:r>
        <w:t>Проверка, что схема относится к прямолинейному соединению.</w:t>
      </w:r>
    </w:p>
    <w:p>
      <w:pPr>
        <w:pStyle w:val="ListBullet"/>
      </w:pPr>
      <w:r>
        <w:t>Чтение t, Φ, K, Q из параметров карты.</w:t>
      </w:r>
    </w:p>
    <w:p>
      <w:pPr>
        <w:pStyle w:val="ListBullet"/>
      </w:pPr>
      <w:r>
        <w:t>Поиск параметра b по текстовым фрагментам («детектор», «поверхност»); если не найден — b=0.</w:t>
      </w:r>
    </w:p>
    <w:p>
      <w:pPr>
        <w:pStyle w:val="ListBullet"/>
      </w:pPr>
      <w:r>
        <w:t>Проверка валидности входных данных (t&gt;0, K&gt;0 и т.д.).</w:t>
      </w:r>
    </w:p>
    <w:p>
      <w:pPr>
        <w:pStyle w:val="ListBullet"/>
      </w:pPr>
      <w:r>
        <w:t>Определение n по функции _n_phi_over_k_divisor(Q, t).</w:t>
      </w:r>
    </w:p>
    <w:p>
      <w:pPr>
        <w:pStyle w:val="ListBullet"/>
      </w:pPr>
      <w:r>
        <w:t>Определение S_img по классу качества (A/B/C).</w:t>
      </w:r>
    </w:p>
    <w:p>
      <w:pPr>
        <w:pStyle w:val="ListBullet"/>
      </w:pPr>
      <w:r>
        <w:t>Расчет t_sum = t + b.</w:t>
      </w:r>
    </w:p>
    <w:p>
      <w:pPr>
        <w:pStyle w:val="ListBullet"/>
      </w:pPr>
      <w:r>
        <w:t>Расчет f_sto = n*Φ*S_img*t_sum/K.</w:t>
      </w:r>
    </w:p>
    <w:p>
      <w:pPr>
        <w:pStyle w:val="ListBullet"/>
      </w:pPr>
      <w:r>
        <w:t>Расчет f_four = 4*t_sum.</w:t>
      </w:r>
    </w:p>
    <w:p>
      <w:pPr>
        <w:pStyle w:val="ListBullet"/>
      </w:pPr>
      <w:r>
        <w:t>Расчет f_min = max(f_sto, f_four).</w:t>
      </w:r>
    </w:p>
    <w:p>
      <w:pPr>
        <w:pStyle w:val="ListBullet"/>
      </w:pPr>
      <w:r>
        <w:t>Расчет Lуч_max = 0.8*f_min.</w:t>
      </w:r>
    </w:p>
    <w:p>
      <w:pPr>
        <w:pStyle w:val="ListBullet"/>
      </w:pPr>
      <w:r>
        <w:t>Запись итоговой текстовой подсказки в placeholder/hint.</w:t>
      </w:r>
    </w:p>
    <w:p>
      <w:pPr>
        <w:pStyle w:val="Heading1"/>
      </w:pPr>
      <w:r>
        <w:t>6. Поведение при неполных данных</w:t>
      </w:r>
    </w:p>
    <w:p>
      <w:r>
        <w:t>Модуль использует безопасную стратегию: при невозможности надежного расчета не оставляет потенциально некорректную рекомендацию.</w:t>
      </w:r>
    </w:p>
    <w:p>
      <w:pPr>
        <w:pStyle w:val="ListBullet"/>
      </w:pPr>
      <w:r>
        <w:t>Если схема не прямолинейная — расчет не выполняется.</w:t>
      </w:r>
    </w:p>
    <w:p>
      <w:pPr>
        <w:pStyle w:val="ListBullet"/>
      </w:pPr>
      <w:r>
        <w:t>Если отсутствуют/невалидны t, Φ, K, Q — подсказка очищается.</w:t>
      </w:r>
    </w:p>
    <w:p>
      <w:pPr>
        <w:pStyle w:val="ListBullet"/>
      </w:pPr>
      <w:r>
        <w:t>Если t_sum&lt;=0 или n/S_img не определены — подсказка очищается.</w:t>
      </w:r>
    </w:p>
    <w:p>
      <w:pPr>
        <w:pStyle w:val="ListBullet"/>
      </w:pPr>
      <w:r>
        <w:t>Параметр b опционален: при отсутствии принимается b=0, что позволяет не блокировать расчет.</w:t>
      </w:r>
    </w:p>
    <w:p>
      <w:pPr>
        <w:pStyle w:val="Heading1"/>
      </w:pPr>
      <w:r>
        <w:t>7. Что записывается в карту</w:t>
      </w:r>
    </w:p>
    <w:p>
      <w:pPr>
        <w:pStyle w:val="ListBullet"/>
      </w:pPr>
      <w:r>
        <w:t>Изменяется поле расстояния от ИИИ до поверхности контролируемого соединения.</w:t>
      </w:r>
    </w:p>
    <w:p>
      <w:pPr>
        <w:pStyle w:val="ListBullet"/>
      </w:pPr>
      <w:r>
        <w:t>Обновляются оба атрибута: placeholder и hint.</w:t>
      </w:r>
    </w:p>
    <w:p>
      <w:pPr>
        <w:pStyle w:val="ListBullet"/>
      </w:pPr>
      <w:r>
        <w:t>Формат: «f≥X; Lуч≤Y (п. 9.5.21)».</w:t>
      </w:r>
    </w:p>
    <w:p>
      <w:pPr>
        <w:pStyle w:val="Heading1"/>
      </w:pPr>
      <w:r>
        <w:t>8. Вывод для ВКР</w:t>
      </w:r>
    </w:p>
    <w:p>
      <w:r>
        <w:t>RectilinearDrDistance реализует формализованный инженерный расчет для прямолинейного шва в цифровой радиографии с учетом качества изображения, чувствительности, геометрических условий и нормативного страховочного ограничения. Это делает модуль ключевым для автоматизированной выдачи корректных технологических рекомендаций в рамках ОТК.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120"/>
    </w:pPr>
    <w:rPr>
      <w:rFonts w:ascii="Times New Roman" w:hAnsi="Times New Roman"/>
      <w:sz w:val="2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