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Глава. Тестирование программного обеспечения серверной части приложения</w:t>
      </w:r>
    </w:p>
    <w:p>
      <w:r>
        <w:t>Текст подготовлен для включения в пояснительную записку к дипломному проекту. Дата оформления: 01.05.2026.</w:t>
      </w:r>
    </w:p>
    <w:p>
      <w:pPr>
        <w:pStyle w:val="Heading1"/>
      </w:pPr>
      <w:r>
        <w:t>3.x. Цели и общая постановка задачи</w:t>
      </w:r>
    </w:p>
    <w:p>
      <w:r>
        <w:t>В ходе выполнения дипломной работы была поставлена задача обеспечить доказуемое качество серверной реализации системы формирования операционной технологической карты радиографического контроля сварных соединений. Для этого была выделена отдельная деятельность по автоматизированному тестированию: предполагалось не только зафиксировать ожидаемое поведение ключевых компонентов, но и снизить риск регрессий при последующих доработках кода. Учитывалась многослойная структура приложения — репозиторий, сервис, конвейер преобразований, контроллер и веб-адаптер, — поэтому проверки были спроектированы так, чтобы охватить несколько уровней абстракции без обязательного подключения к промышленной базе данных на каждом запуске.</w:t>
      </w:r>
    </w:p>
    <w:p>
      <w:pPr>
        <w:pStyle w:val="Heading1"/>
      </w:pPr>
      <w:r>
        <w:t>3.x. Выбор средств и организация среды</w:t>
      </w:r>
    </w:p>
    <w:p>
      <w:r>
        <w:t>В качестве основного инструмента был выбран фреймворк pytest для языка Python: он уже широко применялся в экосистеме проекта и позволял сочетать лаконичные тестовые функции с гибкими фикстурами и наглядными отчётами. Была подготовлена конфигурация запуска: в корне серверного модуля был размещён файл pytest.ini с указанием путей импорта и каталога tests, чтобы тесты стабильно обнаруживались при выполнении команды из рабочей директории разработчика. Дополнительно был оформлен перечень зависимостей для разработки (requirements-dev.txt), куда была включена необходимая версия pytest; таким образом, воспроизводимость среды была доведена до явной процедуры установки.</w:t>
      </w:r>
    </w:p>
    <w:p>
      <w:pPr>
        <w:pStyle w:val="Heading1"/>
      </w:pPr>
      <w:r>
        <w:t>3.x. Структура созданного набора тестов</w:t>
      </w:r>
    </w:p>
    <w:p>
      <w:r>
        <w:t>Все автоматические проверки были сосредоточены в отдельном пакете tests, что отделило исполняемые сценарии контроля от прикладного кода и упростило навигацию по репозиторию. В общем модуле conftest.py были определены повторно используемые элементы: в частности, был реализован вспомогательный класс NoOpChanger — преобразователь данных без побочных эффектов, который позволил корректно инициализировать конвейер PipeLine на нулевой фазе и избежать ложных отказов при проверке сервисного слоя, где обработка шаблона техкарты неизбежно вызывала метод process.</w:t>
      </w:r>
    </w:p>
    <w:p>
      <w:r>
        <w:t>Для модели TechCardData были написаны тесты сериализации и десериализации, поиска блоков и параметров, а также операций вставки и защиты от дублирования имён параметров. Эти проверки подтвердили, что внутреннее представление карты, с которым работают десятки преобразователей, оставалось предсказуемым при типичных манипуляциях структуры.</w:t>
      </w:r>
    </w:p>
    <w:p>
      <w:r>
        <w:t>Конвейер PipeLine был исследован отдельным набором сценариев: были воспроизведены ошибочные ситуации с некорректными индексами, проверен порядок вызова нескольких преобразователей на одной фазе и убеждались, что после прохода выполнялась сортировка вложенных параметров, как это заложено в реализации.</w:t>
      </w:r>
    </w:p>
    <w:p>
      <w:r>
        <w:t>Сервис TechCardService был протестирован с применением подставного объекта репозитория (MagicMock с ограничением по интерфейсу IRepository). Такой приём позволил имитировать ответы базы данных — например, пустой или заполненный перечень операций для блока «ПЕРЕЧЕНЬ ОПЕРАЦИЙ РК» — и при этом не требовал живого подключения к PostgreSQL. Были проверены формирование шаблона, проход pipeline при обновлении карты, нормализация имени при сохранении и корректное делегирование вызовов методам сохранения и загрузки списка техкарт.</w:t>
      </w:r>
    </w:p>
    <w:p>
      <w:r>
        <w:t>Класс ControllerWeb был охвачен тестами с подставной реализацией IServise: удостоверились, что метод получения шаблона возвращал сериализованное JSON-представление, что обновление карты сопровождалось десериализацией входного словаря в TechCardData и передачей результата сервису, а операции сохранения и выборки сохранённых записей просто пробрасывались без искажения контракта.</w:t>
      </w:r>
    </w:p>
    <w:p>
      <w:r>
        <w:t>Наконец, был выбран один содержательный преобразователь предметной области — CircButtWeldBeadFromThicknessTable, работающий по табличным данным без обращения к СУБД. Для него были написаны параметризованные проверки разбора числовой толщины, выборки пары величин по диапазону номинала, заполнения полей для стыкового кольцевого и листового типов соединения, а также сценарий отсутствия изменений при невыбранном скалярном значении типа шва (когда в поле передавался справочный список). Таким образом, была продемонстрирована проверка не только инфраструктурных классов, но и фрагмента инженерной логики, близкой к расчётной части дипломной темы.</w:t>
      </w:r>
    </w:p>
    <w:p>
      <w:pPr>
        <w:pStyle w:val="Heading1"/>
      </w:pPr>
      <w:r>
        <w:t>3.x. Выполнение прогонов и интерпретация результатов</w:t>
      </w:r>
    </w:p>
    <w:p>
      <w:r>
        <w:t>После реализации перечисленных сценариев неоднократно выполнялись полные прогоны тестового набора из корня серверного модуля. Все тесты завершались успешно: отсутствовали как синтаксические и импортные ошибки, так и расхождения между ожидаемым и фактическим поведением. Полученный результат был воспринят как подтверждение внутренней согласованности описанных уровней на момент фиксации версии кода; при этом сохранялось понимание, что дальнейшее расширение функционала потребовало бы дополнения набора проверок (например, интеграционных тестов с тестовой базой или HTTP-клиентом для маршрутов FastAPI).</w:t>
      </w:r>
    </w:p>
    <w:p>
      <w:pPr>
        <w:pStyle w:val="Heading1"/>
      </w:pPr>
      <w:r>
        <w:t>3.x. Оформление отчётности</w:t>
      </w:r>
    </w:p>
    <w:p>
      <w:r>
        <w:t>Параллельно с разработкой тестов была подготовлена текстовая отчётность: автоматизированным скриптом формировался документ Word с описанием состава каталога tests, использованных технологий и фрагментом вывода pytest на момент генерации. Данная глава дополнила материалы пояснительной записки связным изложением в прошедшем времени и акцентом на содержательной стороне проделанной работы, а не только на перечне файлов.</w:t>
      </w:r>
    </w:p>
    <w:p>
      <w:pPr>
        <w:pStyle w:val="Heading1"/>
      </w:pPr>
      <w:r>
        <w:t>3.x. Выводы по разделу</w:t>
      </w:r>
    </w:p>
    <w:p>
      <w:r>
        <w:t>В результате была выполнена поставленная в рамках дипломного проекта работа по тестированию серверной части приложения: был создан структурированный набор автоматических проверок, охватывающий модель данных, конвейер, сервис и контроллер с применением имитаций зависимостей, а также отдельный блок предметных тестов без подключения к базе. Была выстроена воспроизводимая среда запуска, подтверждена работоспособность сценариев на момент сдачи версии и подготовлена основа для дальнейшего наращивания покрытия по мере развития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