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5132"/>
          <w:sz w:val="56"/>
          <w:szCs w:val="56"/>
        </w:rPr>
        <w:t xml:space="preserve">H-NERVE ERP</w:t>
      </w:r>
    </w:p>
    <w:p>
      <w:pPr>
        <w:spacing w:after="40"/>
        <w:jc w:val="center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Enterprise Resource Planning — Intelligence Platform</w:t>
      </w:r>
    </w:p>
    <w:p>
      <w:pPr>
        <w:spacing w:after="220"/>
        <w:jc w:val="center"/>
      </w:pPr>
      <w:r>
        <w:rPr>
          <w:rFonts w:ascii="Arial" w:cs="Arial" w:eastAsia="Arial" w:hAnsi="Arial"/>
          <w:color w:val="9A7B23"/>
          <w:sz w:val="24"/>
          <w:szCs w:val="24"/>
          <w:rtl/>
        </w:rPr>
        <w:t xml:space="preserve">منصة تخطيط موارد المؤسسات الذكية</w:t>
      </w:r>
    </w:p>
    <w:p>
      <w:pPr>
        <w:pBdr>
          <w:bottom w:val="single" w:color="9A7B23" w:sz="14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Software Requirements Specification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Conforming to IEEE Std 830-1998</w:t>
      </w:r>
    </w:p>
    <w:p>
      <w:pPr>
        <w:pBdr>
          <w:bottom w:val="single" w:color="0F5132" w:sz="14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5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900"/>
        <w:gridCol w:w="6460"/>
      </w:tblGrid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29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System / product</w:t>
            </w:r>
          </w:p>
        </w:tc>
        <w:tc>
          <w:tcPr>
            <w:tcW w:type="dxa" w:w="6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H-Nerve ERP — Enterprise Resource Planning Intelligence Platform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Conforms to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IEEE Std 830-1998 — Recommended Practice for Software Requirements Specifications</w:t>
            </w:r>
          </w:p>
        </w:tc>
      </w:tr>
      <w:tr>
        <w:tc>
          <w:tcPr>
            <w:tcW w:type="dxa" w:w="29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June 2026</w:t>
            </w:r>
          </w:p>
        </w:tc>
      </w:tr>
      <w:tr>
        <w:tc>
          <w:tcPr>
            <w:tcW w:type="dxa" w:w="29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Status</w:t>
            </w:r>
          </w:p>
        </w:tc>
        <w:tc>
          <w:tcPr>
            <w:tcW w:type="dxa" w:w="6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(prototype / supervised-pilot readiness)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</w:rPr>
              <w:t xml:space="preserve">Hourani Group — </w:t>
            </w:r>
            <w:r>
              <w:rPr>
                <w:rFonts w:ascii="Arial" w:cs="Arial" w:eastAsia="Arial" w:hAnsi="Arial"/>
                <w:rtl/>
              </w:rPr>
              <w:t xml:space="preserve">مجموعة الحوراني</w:t>
            </w:r>
          </w:p>
        </w:tc>
      </w:tr>
      <w:tr>
        <w:tc>
          <w:tcPr>
            <w:tcW w:type="dxa" w:w="29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Anas Hasiba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 &amp; evaluation use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Document Control — Revision History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1200"/>
        <w:gridCol w:w="1800"/>
        <w:gridCol w:w="2800"/>
        <w:gridCol w:w="3560"/>
      </w:tblGrid>
      <w:tr>
        <w:trPr>
          <w:tblHeader/>
        </w:trPr>
        <w:tc>
          <w:tcPr>
            <w:tcW w:type="dxa" w:w="120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56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Jun 2026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Anas Hasiba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Initial baseline SRS derived from the implemented system.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If the entries below show no page numbers, select all (Ctrl+A) and press F9, or right-click → “Update Field”.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This Software Requirements Specification (SRS) defines the functional and non-functional requirements of H-Nerve ERP, a bilingual, multi-unit Enterprise Resource Planning platform with an embedded reasoning layer (the “Brain”). It is written in conformance with IEEE Std 830-1998 and is intended to be complete, consistent, verifiable, and traceable to the implemented system.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The intended audience is: (a) the engineering team building and maintaining the platform; (b) quality-assurance and verification engineers; (c) the project owner and Hourani Group stakeholders evaluating fitness for a supervised pilot; and (d) academic reviewers assessing the work against the ERP body of knowledge.</w:t>
      </w:r>
    </w:p>
    <w:p>
      <w:pPr>
        <w:pStyle w:val="Heading2"/>
      </w:pPr>
      <w:r>
        <w:rPr>
          <w:rFonts w:ascii="Arial" w:cs="Arial" w:eastAsia="Arial" w:hAnsi="Arial"/>
        </w:rPr>
        <w:t xml:space="preserve">1.2 Scope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The software product is named </w:t>
      </w:r>
      <w:r>
        <w:rPr>
          <w:rFonts w:ascii="Arial" w:cs="Arial" w:eastAsia="Arial" w:hAnsi="Arial"/>
          <w:b/>
          <w:bCs/>
        </w:rPr>
        <w:t xml:space="preserve">H-Nerve ERP</w:t>
      </w:r>
      <w:r>
        <w:rPr>
          <w:rFonts w:ascii="Arial" w:cs="Arial" w:eastAsia="Arial" w:hAnsi="Arial"/>
        </w:rPr>
        <w:t xml:space="preserve">. It is a generic, white-labelable ERP intelligence platform. Its first deployment serves Hourani Group across four operating verticals — hospitality (hotels), dairy (Al-Maha / المها), agriculture (Loran / لوران), and education (The Tank incubator). The architecture is industry-agnostic: domain knowledge is isolated in pluggable industry packs, so additional tenants can be provisioned without changing the core.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In scope: identity and role-based access; the four industry verticals and their master data; finance and treasury (ledger, journals, periods); supply-chain forecasting and procurement; document intelligence; an intelligence layer that reasons over a causal graph, simulates what-if scenarios, runs a multi-agent council, retrieves grounded answers (RAG), recalls episodic memory, and narrates editorial insight; visual workflow automation; alerts; real-time presence; reporting/export; a superadmin console; and bilingual (Arabic-first, RTL) theming.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color w:val="0F5132"/>
        </w:rPr>
        <w:t xml:space="preserve">Out of scope. </w:t>
      </w:r>
      <w:r>
        <w:rPr>
          <w:rFonts w:ascii="Arial" w:cs="Arial" w:eastAsia="Arial" w:hAnsi="Arial"/>
        </w:rPr>
        <w:t xml:space="preserve">The platform does not replace certified accounting, payroll, or statutory tax-filing systems; it does not execute financial transfers or place real orders with suppliers automatically; and the Brain is read-mostly — it proposes actions and never writes domain data directly. The current build is a prototype targeting a supervised pilot, not an unattended production ERP of record.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color w:val="0F5132"/>
        </w:rPr>
        <w:t xml:space="preserve">Objectives. </w:t>
      </w:r>
      <w:r>
        <w:rPr>
          <w:rFonts w:ascii="Arial" w:cs="Arial" w:eastAsia="Arial" w:hAnsi="Arial"/>
        </w:rPr>
        <w:t xml:space="preserve">Give a multi-unit group a single, bilingual operating picture; surface causal, explainable intelligence beneath every screen; keep tenants isolated and auditable; and stand up a new tenant in minutes.</w:t>
      </w:r>
    </w:p>
    <w:p>
      <w:pPr>
        <w:pStyle w:val="Heading2"/>
      </w:pPr>
      <w:r>
        <w:rPr>
          <w:rFonts w:ascii="Arial" w:cs="Arial" w:eastAsia="Arial" w:hAnsi="Arial"/>
        </w:rPr>
        <w:t xml:space="preserve">1.3 Definitions, Acronyms, and Abbreviations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06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ERP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Resource Planning — integrated management of core business processes.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Brain</w:t>
            </w:r>
          </w:p>
        </w:tc>
        <w:tc>
          <w:tcPr>
            <w:tcW w:type="dxa" w:w="70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platform’s intelligence layer: causal graph + simulator + council + memory + planner + narrator, fronted by a tool registry.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Causal graph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directed, weighted graph in which every business entity is a node and edges carry signed causal weights.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Council</w:t>
            </w:r>
          </w:p>
        </w:tc>
        <w:tc>
          <w:tcPr>
            <w:tcW w:type="dxa" w:w="70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multi-agent debate among industry-expert personas whose positions a Moderator synthesizes into a recommendation.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RAG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Retrieval-Augmented Generation — grounding generated answers in the tenant’s own retrieved data.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CRAG</w:t>
            </w:r>
          </w:p>
        </w:tc>
        <w:tc>
          <w:tcPr>
            <w:tcW w:type="dxa" w:w="70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Corrective RAG — grading retrieved evidence (Correct/Ambiguous/Incorrect) and discarding weak matches before grounding.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MCP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Context Protocol — the stdio JSON-RPC protocol over which the Brain exposes its seven tools.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RBAC</w:t>
            </w:r>
          </w:p>
        </w:tc>
        <w:tc>
          <w:tcPr>
            <w:tcW w:type="dxa" w:w="70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Role-Based Access Control.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Tenant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 isolated white-label deployment of the platform for one organization.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RTL / LTR</w:t>
            </w:r>
          </w:p>
        </w:tc>
        <w:tc>
          <w:tcPr>
            <w:tcW w:type="dxa" w:w="70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Right-to-left (Arabic) / left-to-right (English) text direction.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SSE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Server-Sent Events — one-way server→client streaming used for realtime updates.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</w:t>
            </w:r>
          </w:p>
        </w:tc>
        <w:tc>
          <w:tcPr>
            <w:tcW w:type="dxa" w:w="70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Large Language Model (e.g., Anthropic Claude); used in LIVE mode, stubbed in zero-cost mode.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Brain IQ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self-assessed capability/quality score the meta-reflection subsystem maintains.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JOD</w:t>
            </w:r>
          </w:p>
        </w:tc>
        <w:tc>
          <w:tcPr>
            <w:tcW w:type="dxa" w:w="70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Jordanian Dinar — the default reporting currency.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/ FR / NFR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Software Requirements Specification / Functional Requirement / Non-Functional Requirement.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IEEE Std 830-1998</w:t>
      </w:r>
      <w:r>
        <w:rPr>
          <w:rFonts w:ascii="Arial" w:cs="Arial" w:eastAsia="Arial" w:hAnsi="Arial"/>
        </w:rPr>
        <w:t xml:space="preserve"> —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docs/SYSTEM-BLUEPRINT.md</w:t>
      </w:r>
      <w:r>
        <w:rPr>
          <w:rFonts w:ascii="Arial" w:cs="Arial" w:eastAsia="Arial" w:hAnsi="Arial"/>
        </w:rPr>
        <w:t xml:space="preserve"> — the build-a-system playbook (stack, structure, security baseline).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docs/PHASES-INTELLIGENCE.md</w:t>
      </w:r>
      <w:r>
        <w:rPr>
          <w:rFonts w:ascii="Arial" w:cs="Arial" w:eastAsia="Arial" w:hAnsi="Arial"/>
        </w:rPr>
        <w:t xml:space="preserve"> — the 1–27 phase master plan across five waves.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docs/DESIGN-SKILL.md</w:t>
      </w:r>
      <w:r>
        <w:rPr>
          <w:rFonts w:ascii="Arial" w:cs="Arial" w:eastAsia="Arial" w:hAnsi="Arial"/>
        </w:rPr>
        <w:t xml:space="preserve"> — the design language (Heritage Modern default).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lib/brain/README.md</w:t>
      </w:r>
      <w:r>
        <w:rPr>
          <w:rFonts w:ascii="Arial" w:cs="Arial" w:eastAsia="Arial" w:hAnsi="Arial"/>
        </w:rPr>
        <w:t xml:space="preserve"> — the Brain architecture (tools, orchestrator, MCP server).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docs/ISOLATION.md</w:t>
      </w:r>
      <w:r>
        <w:rPr>
          <w:rFonts w:ascii="Arial" w:cs="Arial" w:eastAsia="Arial" w:hAnsi="Arial"/>
        </w:rPr>
        <w:t xml:space="preserve"> — multi-tenant isolation checklist.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docs/AUDIT-2026-06.md</w:t>
      </w:r>
      <w:r>
        <w:rPr>
          <w:rFonts w:ascii="Arial" w:cs="Arial" w:eastAsia="Arial" w:hAnsi="Arial"/>
        </w:rPr>
        <w:t xml:space="preserve"> — current engineering-health snapshot and open items.</w:t>
      </w:r>
    </w:p>
    <w:p>
      <w:pPr>
        <w:pStyle w:val="Heading2"/>
      </w:pPr>
      <w:r>
        <w:rPr>
          <w:rFonts w:ascii="Arial" w:cs="Arial" w:eastAsia="Arial" w:hAnsi="Arial"/>
        </w:rPr>
        <w:t xml:space="preserve">1.5 Overview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Section 2 gives the overall description — product perspective, major functions, user classes, constraints, and assumptions. Section 3 states the specific requirements: external interfaces, itemized functional requirements grouped by module, performance, design constraints, and software-system attributes. The appendices provide the data-model summary, a requirements-traceability matrix, and the verification approach.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Overall Description</w:t>
      </w:r>
    </w:p>
    <w:p>
      <w:pPr>
        <w:pStyle w:val="Heading2"/>
      </w:pPr>
      <w:r>
        <w:rPr>
          <w:rFonts w:ascii="Arial" w:cs="Arial" w:eastAsia="Arial" w:hAnsi="Arial"/>
        </w:rPr>
        <w:t xml:space="preserve">2.1 Product Perspective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H-Nerve ERP is a self-contained web application that is new and not a member of a larger product family, but it integrates with several external services. It follows a server-rendered architecture: a Next.js App Router front end and server actions, a Prisma data-access layer over PostgreSQL, cookie-based sessions, and an intelligence layer that calls LLM and embedding providers when keys are present and degrades to deterministic local behavior when they are not.</w:t>
      </w:r>
    </w:p>
    <w:p>
      <w:pPr>
        <w:pStyle w:val="Heading3"/>
      </w:pPr>
      <w:r>
        <w:rPr>
          <w:rFonts w:ascii="Arial" w:cs="Arial" w:eastAsia="Arial" w:hAnsi="Arial"/>
        </w:rPr>
        <w:t xml:space="preserve">2.1.1 System interfaces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The system is organized into route groups, each a security and presentation boundary: (auth) public pages; (app) the authenticated operator workspace; (admin) the superadmin console (hard-gated to ADMIN); (theater) the fullscreen decision surface; and m/ the mobile companion. Mutations are performed by server actions colocated with each resource; a small set of API routes serves streaming, export, conversational, and protocol endpoints.</w:t>
      </w:r>
    </w:p>
    <w:p>
      <w:pPr>
        <w:pStyle w:val="Heading3"/>
      </w:pPr>
      <w:r>
        <w:rPr>
          <w:rFonts w:ascii="Arial" w:cs="Arial" w:eastAsia="Arial" w:hAnsi="Arial"/>
        </w:rPr>
        <w:t xml:space="preserve">2.1.2 User interfaces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The UI is bilingual with Arabic as the default language and full RTL support; English is a secondary label where the data itself is English. The default visual vocabulary is Heritage Modern (deep-emerald primary with gold/amber accents). Each authenticated page renders a shared Topbar and reuses brand component classes; every mutating action returns a visible toast confirmation.</w:t>
      </w:r>
    </w:p>
    <w:p>
      <w:pPr>
        <w:pStyle w:val="Heading3"/>
      </w:pPr>
      <w:r>
        <w:rPr>
          <w:rFonts w:ascii="Arial" w:cs="Arial" w:eastAsia="Arial" w:hAnsi="Arial"/>
        </w:rPr>
        <w:t xml:space="preserve">2.1.3 Hardware interfaces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The system has no direct hardware dependencies. Agricultural sensor data (temperature, humidity, soil moisture) is ingested as ordinary data records; no device drivers are part of this software.</w:t>
      </w:r>
    </w:p>
    <w:p>
      <w:pPr>
        <w:pStyle w:val="Heading3"/>
      </w:pPr>
      <w:r>
        <w:rPr>
          <w:rFonts w:ascii="Arial" w:cs="Arial" w:eastAsia="Arial" w:hAnsi="Arial"/>
        </w:rPr>
        <w:t xml:space="preserve">2.1.4 Software interfaces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750"/>
        <w:gridCol w:w="6610"/>
      </w:tblGrid>
      <w:tr>
        <w:trPr>
          <w:tblHeader/>
        </w:trPr>
        <w:tc>
          <w:tcPr>
            <w:tcW w:type="dxa" w:w="27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66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 (via Prisma 5.22)</w:t>
            </w:r>
          </w:p>
        </w:tc>
        <w:tc>
          <w:tcPr>
            <w:tcW w:type="dxa" w:w="6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of record for all tenant data; SQLite is permitted only for local development.</w:t>
            </w:r>
          </w:p>
        </w:tc>
      </w:tr>
      <w:tr>
        <w:tc>
          <w:tcPr>
            <w:tcW w:type="dxa" w:w="27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Anthropic Claude (LLM)</w:t>
            </w:r>
          </w:p>
        </w:tc>
        <w:tc>
          <w:tcPr>
            <w:tcW w:type="dxa" w:w="66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Council debate, narration, and the conversational tool-loop in LIVE mode.</w:t>
            </w:r>
          </w:p>
        </w:tc>
      </w:tr>
      <w:tr>
        <w:tc>
          <w:tcPr>
            <w:tcW w:type="dxa" w:w="2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Gemini / OpenAI / Voyage</w:t>
            </w:r>
          </w:p>
        </w:tc>
        <w:tc>
          <w:tcPr>
            <w:tcW w:type="dxa" w:w="6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embeddings for retrieval; falls back to a deterministic local embedder when no key is set.</w:t>
            </w:r>
          </w:p>
        </w:tc>
      </w:tr>
      <w:tr>
        <w:tc>
          <w:tcPr>
            <w:tcW w:type="dxa" w:w="27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iron-session</w:t>
            </w:r>
          </w:p>
        </w:tc>
        <w:tc>
          <w:tcPr>
            <w:tcW w:type="dxa" w:w="66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Encrypted, httpOnly cookie sessions.</w:t>
            </w:r>
          </w:p>
        </w:tc>
      </w:tr>
      <w:tr>
        <w:tc>
          <w:tcPr>
            <w:tcW w:type="dxa" w:w="2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@modelcontextprotocol/sdk 1.29</w:t>
            </w:r>
          </w:p>
        </w:tc>
        <w:tc>
          <w:tcPr>
            <w:tcW w:type="dxa" w:w="6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Exposes the seven Brain tools over a stdio MCP server.</w:t>
            </w:r>
          </w:p>
        </w:tc>
      </w:tr>
      <w:tr>
        <w:tc>
          <w:tcPr>
            <w:tcW w:type="dxa" w:w="27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n8n / webhooks</w:t>
            </w:r>
          </w:p>
        </w:tc>
        <w:tc>
          <w:tcPr>
            <w:tcW w:type="dxa" w:w="66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Outbound automation and cross-system federation events.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2.1.5 Communications interfaces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All client traffic is over HTTPS. Real-time presence and live metric updates use Server-Sent Events. The Brain’s tool surface is reachable over MCP stdio (JSON-RPC). Session state is carried in an encrypted cookie.</w:t>
      </w:r>
    </w:p>
    <w:p>
      <w:pPr>
        <w:pStyle w:val="Heading3"/>
      </w:pPr>
      <w:r>
        <w:rPr>
          <w:rFonts w:ascii="Arial" w:cs="Arial" w:eastAsia="Arial" w:hAnsi="Arial"/>
        </w:rPr>
        <w:t xml:space="preserve">2.1.6 Memory and operations constraints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Retrieval similarity is currently computed in-process (cosine over embedded vectors); at scale this is intended to move to a vector index. The Brain runs in two modes: a zero-cost STUB/local-embedder mode (no API keys, deterministic) and a LIVE mode (keys present). A scheduled weekly job lets the meta subsystem self-tune.</w:t>
      </w:r>
    </w:p>
    <w:p>
      <w:pPr>
        <w:pStyle w:val="Heading3"/>
      </w:pPr>
      <w:r>
        <w:rPr>
          <w:rFonts w:ascii="Arial" w:cs="Arial" w:eastAsia="Arial" w:hAnsi="Arial"/>
        </w:rPr>
        <w:t xml:space="preserve">2.1.7 Site adaptation (white-labeling)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A new tenant is provisioned through a Genesis wizard that records each step (subdomain, schema, seed, theme, invite). Per-tenant theme presets and feature packs let one codebase serve multiple organizations; a superadmin can preview any tenant via a view-as cookie without subdomain switching.</w:t>
      </w:r>
    </w:p>
    <w:p>
      <w:pPr>
        <w:pStyle w:val="Heading2"/>
      </w:pPr>
      <w:r>
        <w:rPr>
          <w:rFonts w:ascii="Arial" w:cs="Arial" w:eastAsia="Arial" w:hAnsi="Arial"/>
        </w:rPr>
        <w:t xml:space="preserve">2.2 Product Functions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At a high level the platform provides: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Identity, four-tier RBAC, multi-tenant isolation, and a Genesis provisioning console.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Four industry verticals — hospitality, dairy, agriculture, education — each with master data, lifecycle status, and KPIs.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Finance &amp; treasury: transactions, double-entry journals, accounting periods, and group roll-up.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Supply chain: demand forecasts, procurement (purchase/sales orders), inventory movements, and a forecast→PO bridge.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Document intelligence: upload, parse, extract structured fields, and surface risk clauses.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The Brain: causal graph, what-if simulation, multi-agent council, grounded RAG conversation, episodic memory, insight feed, narration, and self-reflection.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Cross-cutting services: workflow automation, alerts, real-time presence, reporting/export, time-machine views, soft-delete/trash, activity audit, and bilingual theming.</w:t>
      </w:r>
    </w:p>
    <w:p>
      <w:pPr>
        <w:pStyle w:val="Heading2"/>
      </w:pPr>
      <w:r>
        <w:rPr>
          <w:rFonts w:ascii="Arial" w:cs="Arial" w:eastAsia="Arial" w:hAnsi="Arial"/>
        </w:rPr>
        <w:t xml:space="preserve">2.3 User Characteristics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0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Expertise</w:t>
            </w:r>
          </w:p>
        </w:tc>
        <w:tc>
          <w:tcPr>
            <w:tcW w:type="dxa" w:w="516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responsibilities &amp; access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Technical / superuser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access including the (admin) console, tenant provisioning, RBAC editing, and Brain inspection.</w:t>
            </w:r>
          </w:p>
        </w:tc>
      </w:tr>
      <w:tr>
        <w:tc>
          <w:tcPr>
            <w:tcW w:type="dxa" w:w="19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EXECUTIVE</w:t>
            </w:r>
          </w:p>
        </w:tc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Business leadership</w:t>
            </w:r>
          </w:p>
        </w:tc>
        <w:tc>
          <w:tcPr>
            <w:tcW w:type="dxa" w:w="51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Group-wide read across companies; decision theater, council, insights, reporting.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MANAGER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Operational owner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Day-to-day CRUD within their company/vertical; tasks, bookings, batches, crops, programs.</w:t>
            </w:r>
          </w:p>
        </w:tc>
      </w:tr>
      <w:tr>
        <w:tc>
          <w:tcPr>
            <w:tcW w:type="dxa" w:w="19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STAFF</w:t>
            </w:r>
          </w:p>
        </w:tc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51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Scoped data entry and routine actions; limited destructive rights.</w:t>
            </w:r>
          </w:p>
        </w:tc>
      </w:tr>
    </w:tbl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All classes are assumed to be bilingual Arabic/English operators comfortable with a modern web application; no programming knowledge is assumed.</w:t>
      </w:r>
    </w:p>
    <w:p>
      <w:pPr>
        <w:pStyle w:val="Heading2"/>
      </w:pPr>
      <w:r>
        <w:rPr>
          <w:rFonts w:ascii="Arial" w:cs="Arial" w:eastAsia="Arial" w:hAnsi="Arial"/>
        </w:rPr>
        <w:t xml:space="preserve">2.4 Constraints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Technology stack is intentionally minimal: </w:t>
      </w:r>
      <w:r>
        <w:rPr>
          <w:rFonts w:ascii="Arial" w:cs="Arial" w:eastAsia="Arial" w:hAnsi="Arial"/>
          <w:b/>
          <w:bCs/>
        </w:rPr>
        <w:t xml:space="preserve">Next.js App Router, React, Prisma, PostgreSQL, iron-session, Tailwind</w:t>
      </w:r>
      <w:r>
        <w:rPr>
          <w:rFonts w:ascii="Arial" w:cs="Arial" w:eastAsia="Arial" w:hAnsi="Arial"/>
        </w:rPr>
        <w:t xml:space="preserve">. New auth providers, ORMs, or state libraries are not introduced without explicit approval.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Roles, statuses, sectors, and tiers are stored as string columns and modeled as TypeScript unions (not database enums) to keep the schema portable between PostgreSQL and the SQLite dev provider.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Arabic-first and RTL are mandatory; all default UI text is Arabic.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The Brain is </w:t>
      </w:r>
      <w:r>
        <w:rPr>
          <w:rFonts w:ascii="Arial" w:cs="Arial" w:eastAsia="Arial" w:hAnsi="Arial"/>
          <w:b/>
          <w:bCs/>
        </w:rPr>
        <w:t xml:space="preserve">read-mostly</w:t>
      </w:r>
      <w:r>
        <w:rPr>
          <w:rFonts w:ascii="Arial" w:cs="Arial" w:eastAsia="Arial" w:hAnsi="Arial"/>
        </w:rPr>
        <w:t xml:space="preserve">: it must route any change to domain data through existing server actions, never writing directly, to remain auditable and replayable.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Production data lives in PostgreSQL on Railway; migrations are the source of truth. Committed schema is always provider = postgresql.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Cross-tenant queries are forbidden except through an explicitly unscoped client carrying a documented cross-tenant-intent annotation.</w:t>
      </w:r>
    </w:p>
    <w:p>
      <w:pPr>
        <w:pStyle w:val="Heading2"/>
      </w:pPr>
      <w:r>
        <w:rPr>
          <w:rFonts w:ascii="Arial" w:cs="Arial" w:eastAsia="Arial" w:hAnsi="Arial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A reachable PostgreSQL database is provisioned and DATABASE_URL is configured.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LLM and embedding API keys may be absent; when absent the system must remain fully usable in STUB/local mode.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Users access the system via a current evergreen browser with cookies enabled.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The hosting platform (Railway) provides environment secrets, scheduled triggers, and TLS termination.</w:t>
      </w:r>
    </w:p>
    <w:p>
      <w:pPr>
        <w:pStyle w:val="Heading2"/>
      </w:pPr>
      <w:r>
        <w:rPr>
          <w:rFonts w:ascii="Arial" w:cs="Arial" w:eastAsia="Arial" w:hAnsi="Arial"/>
        </w:rPr>
        <w:t xml:space="preserve">2.6 Apportioning of Requirements (future releases)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Phase 27 — full 13-module ERP enrichment wave, deferred until source material is supplied.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Phase 28 — “The Companion,” an ambient animated presence layer.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Vector-index–backed retrieval to replace in-process cosine at scale.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Production-grade document parser (current parser is a stub) using vision extraction.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Specific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3.1 External Interface Requirements</w:t>
      </w:r>
    </w:p>
    <w:p>
      <w:pPr>
        <w:pStyle w:val="Heading3"/>
      </w:pPr>
      <w:r>
        <w:rPr>
          <w:rFonts w:ascii="Arial" w:cs="Arial" w:eastAsia="Arial" w:hAnsi="Arial"/>
        </w:rPr>
        <w:t xml:space="preserve">3.1.1 User interfaces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UI-01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 all default text in Arabic with correct RTL layout, and switch language via a cookie-driven locale without a full reload of identity.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lib/i18n/*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UI-02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Present every authenticated page with the shared Topbar (Arabic title, optional subtitle, actions slot).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components/Topbar.tsx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UI-03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Apply exactly one design vocabulary per surface — Heritage Modern for operator, Sleek Operator for admin, the theater register for the decision theater.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docs/DESIGN-SKILL.md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UI-04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every mutating action with a visible toast, and provide an undo path for destructive actions.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lib/utils/toast.*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UI-05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Offer a mobile-first companion surface for high-frequency field actions.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app/m/*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3.1.2 Software interfaces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SI-01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 all tenant data exclusively through the scoped Prisma client; unscoped access requires a documented cross-tenant intent.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lib/db/db.ts; lib/tenancy/*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SI-02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Call LLM/embedding providers only behind a seam that falls back to deterministic local behavior on missing key or provider error.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lib/brain/embeddings.ts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SI-03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Expose the seven Brain tools over a stdio MCP server, tenant-scoped and fail-closed.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lib/brain/mcp/server.ts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3.1.3 Communications interfaces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CI-01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Stream presence and live metric updates to clients over Server-Sent Events.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app/api/realtime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CI-02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 a single-shot/streaming conversational endpoint for the “Talk to the Brain” overlay.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app/api/converse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CI-03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Publish a machine-readable protocol/OpenAPI surface for the public API.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app/api/protocol/openapi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Functional Requirements</w:t>
      </w:r>
    </w:p>
    <w:p>
      <w:pPr>
        <w:pStyle w:val="Heading3"/>
      </w:pPr>
      <w:r>
        <w:rPr>
          <w:rFonts w:ascii="Arial" w:cs="Arial" w:eastAsia="Arial" w:hAnsi="Arial"/>
        </w:rPr>
        <w:t xml:space="preserve">3.2.1 Authentication &amp; Session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Identity, credential verification, and session lifecycle.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AUTH-01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 a user by email and password, verifying the password against a bcrypt hash.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lib/auth/auth.ts; (auth)/login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AUTH-02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Maintain an encrypted, httpOnly cookie session and redirect unauthenticated requests for protected routes to /login.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lib/auth/session.ts; src/proxy.ts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AUTH-03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 four roles — ADMIN, EXECUTIVE, MANAGER, STAFF — as a string column and TypeScript union.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schema auth.prisma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AUTH-04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 a logout action that destroys the session.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(auth)/logout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AUTH-05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Guarantee the owner account is auto-promoted to ADMIN on seed/deploy so sign-in is never locked out.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lib/auth/owner.ts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3.2.2 Access Control &amp; Multi-Tenancy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Role enforcement and tenant isolation.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RBAC-01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Enforce route-level RBAC and hard-gate the (admin) console to ADMIN, redirecting others to the dashboard.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src/proxy.ts; (admin)/layout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RBAC-02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 an interactive role × path permission matrix that an admin can edit.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RolePermission; admin/permissions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TEN-01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Isolate each tenant’s data and let a superadmin preview any tenant via a view-as cookie without subdomain switching.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lib/tenancy/tenancy.ts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TEN-02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 every tenant-keyed model in the scoped-models list so queries auto-filter by the active tenant.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lib/tenancy/workspaceScope.ts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TEN-03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Provision a new tenant through a Genesis wizard that records each step’s status and duration.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Tenant, TenantStep; admin/genesis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TEN-04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Apply per-tenant theme presets and feature packs from one codebase.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TenantTheme, TenantPack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3.2.3 Hospitality (Hotels &amp; Bookings)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Property and reservation management for the hospitality vertical.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HOTEL-01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 create/read/update/delete for hotels with tier, room count, star rating, and baseline ADR.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schema hotels.prisma; (app)/hotels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HOTEL-02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 bookings through the lifecycle PENDING → CONFIRMED → CHECKED_IN → CHECKED_OUT / CANCELLED with a unique reference.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Booking; hotels/bookings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HOTEL-03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 occupancy, ADR, and revenue KPI cards on the hospitality index.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(app)/hotels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3.2.4 Dairy (Al-Maha)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Batch production tracking with quality and expiry.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DAIRY-01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dairy batches through IN_PRODUCTION → STORED → SHIPPED → EXPIRED with a unique batch number.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schema dairy.prisma; (app)/dairy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DAIRY-02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 quality grade (A/B/C), fat content, production and expiry dates per batch.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DairyBatch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DAIRY-03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Surface near-expiry routing as an actionable insight.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lib/brain/agents/DairyExpert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3.2.5 Agriculture (Loran)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Farm sensing and crop lifecycle.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AGRI-01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Maintain farms with temperature, humidity, and soil-moisture readings and a derived alert level (OK/WARNING/CRITICAL).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schema agri.prisma; (app)/farms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AGRI-02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crops through GROWING → HARVESTED / FAILED with expected and actual yield.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Crop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AGRI-03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Raise irrigation/environment alerts when readings cross thresholds.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lib/alerts/*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3.2.6 Education (The Tank)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Incubator programs and cohorts.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EDU-01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 programs through INTAKE → ACTIVE → GRADUATED → ARCHIVED with founder, vertical, funding, and team size.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schema education.prisma; (app)/education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EDU-02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Associate cohorts and enrollment/graduation counts with a program.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Program / Cohort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3.2.7 Finance &amp; Treasury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Ledger, double-entry journals, and period control.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FIN-01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 transactions with kind, category, amount, currency (default JOD), and a unique reference.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Transaction; (app)/finance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FIN-02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Maintain a chart of accounts typed ASSET/LIABILITY/EQUITY/REVENUE/EXPENSE/COGS.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LedgerAccount; admin/accounts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FIN-03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immutable journal entries (DRAFT → POSTED) with balanced debit/credit lines, supporting reversal.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JournalEntry, JournalLine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FIN-04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 accounting periods by year/month with OPEN/CLOSED status.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FinancialPeriod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FIN-05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Roll up margin and P&amp;L across the group of companies.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lib/finance/*; lib/empire/*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3.2.8 Supply Chain &amp; Procurement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Forecast-driven procurement and inventory.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SUP-01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 supply forecasts that bridge demand from one company to a supplying company.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SupplyForecast; lib/supply/bridge.ts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SUP-02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 purchase orders through DRAFT → SENT → PARTIAL → RECEIVED → CANCELLED with line items and received quantities.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PurchaseOrder(Line)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SUP-03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 sales orders mirroring the PO structure.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SalesOrder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SUP-04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Maintain supplier, customer, product registries and record inventory movements (RECEIVED/ISSUED/TRANSFERRED/ADJUSTED).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Supplier, Customer, Product, InventoryMovement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SUP-05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 a generated forecast to the purchase order that sources it.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PurchaseOrder.sourceForecastId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3.2.9 Companies, Org &amp; Engagement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Group structure and operator work items.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ORG-01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 CRUD for companies typed by sector (HOSPITALITY/DAIRY/AGRICULTURE/EDUCATION/INVESTMENT/TRADE) with a unique code.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Company; (app)/companies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ORG-02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an org tree via a self-referencing reports-to relationship on users.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User.reportsToId; (app)/employees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ENG-01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tasks through OPEN → IN_PROGRESS → DONE / BLOCKED with assignee, priority, and due date.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Task; (app)/tasks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ENG-02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 projects/initiatives and operator messaging threads.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FutureProject, Message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3.2.10 Document Intelligence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Upload, parse, extract, and risk-flag documents.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DOC-01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 document uploads via a drop zone and track status PARSING → READY / FAILED.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Document; components/DocumentDropZone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DOC-02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 structured fields from a parsed document.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DocExtraction; lib/docintel/*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DOC-03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Surface governance/risk clauses with type, severity, and source page.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DocClause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DOC-04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Attempt to match a document to a known supplier/customer with a confidence score.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Document.matched*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3.2.11 The Brain — Intelligence Layer</w:t>
      </w:r>
    </w:p>
    <w:p>
      <w:pPr>
        <w:spacing w:after="100" w:before="40"/>
        <w:jc w:val="both"/>
      </w:pPr>
      <w:r>
        <w:rPr>
          <w:rFonts w:ascii="Arial" w:cs="Arial" w:eastAsia="Arial" w:hAnsi="Arial"/>
          <w:i/>
          <w:iCs/>
          <w:color w:val="6B7280"/>
        </w:rPr>
        <w:t xml:space="preserve">Causal reasoning, simulation, debate, grounded retrieval, memory, and narration — exposed as seven tools and an orchestrated tool-loop.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Represent every business entity as a graph node and connect them with signed, weighted, confidence-scored causal edges.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graph.ts; BrainNode/BrainEdge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Simulate the propagation of a change (what-if) across the causal graph and return ranked impacts.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simulator.*; tools/simulate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a multi-agent council in which industry experts take positions and a Moderator synthesizes a recommendation with a dissent note and confidence.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council.live.ts; agents/*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BRN-04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Retrieve answers grounded in the tenant’s own documents, grade evidence with CRAG, and attach citations.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documents.retrieve.ts; crag.ts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BRN-05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Redact prompt-injection content from retrieved text and enforce tenant scope and anti-dominance limits before grounding.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ragGuard.ts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BRN-06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Recall analogous past situations from episodic memory via vector similarity, guarding against dimension mismatch.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memory.live.ts; tools/recallMemory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BRN-07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 bilingual editorial narration in three registers, cached with a trust score and claim-match telemetry.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narrator.claude.ts; Narrative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BRN-08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Maintain an insight feed with severity (INFO/WARNING/CRITICAL), confidence, and a visible TrustChip.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AIInsight; (app)/insights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BRN-09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Answer conversationally via an orchestrated tool-loop in LIVE mode and a single-shot path in STUB mode.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orchestrator.ts; converse.ts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BRN-10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Expose exactly seven tools (pullFacts, retrieveDocuments, causalSubgraph, simulate, recallMemory, councilDebate, narrate) over MCP, scoped fail-closed.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tools/index.ts; mcp/scope.ts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BRN-11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 the Brain read-mostly: any domain change is routed through existing server actions, never written directly.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lib/brain/README.md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BRN-12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Maintain a self-reflection / Brain-IQ score and support scheduled weekly self-tuning.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meta.reflector.ts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BRN-13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 anonymized cross-tenant patterns via federation without leaking tenant data.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federation.live.ts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3.2.12 Automation, Alerts &amp; Realtime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WF-01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Let an operator compose visual workflows of trigger → condition → action nodes and execute them, recording per-node run results.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Workflow*; (app)/workflows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ALERT-01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alert rules (e.g., low stock, near expiry, forecast breach) and escalate; group-wide rules have a null company scope.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AlertRule; lib/alerts/*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RT-01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 live presence and push live updates to connected operators.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lib/realtime/realtime.ts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3.2.13 Reporting, Export &amp; Audit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EXP-01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Export data sets as CSV/Excel and render branded HTML reports per type.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app/api/export/*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TM-01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 a time-machine “as-of” view driven by a cookie cursor that SSR queries honor.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lib/utils/timemachine.ts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TRASH-01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Soft-delete rows to a Trash module before permanent deletion, with restore via an undo toast.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lib/db/softDelete.ts; app/api/toast/undo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AUDIT-01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 an activity-log entry (action, entity, actor, summary) for material mutations.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ActivityLog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Performance Requirements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PERF-01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 primary operator pages server-side within a few seconds under representative seed volumes.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 Router SSR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PERF-02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 real-time presence/metric ticks with sub-second perceived latency over SSE.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app/api/realtime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PERF-03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Remain fully responsive in STUB mode (no LLM calls) so demos and offline use incur zero external latency or cost.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embeddings.ts seam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PERF-04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Isolate tenants so one tenant’s load or data volume does not affect another’s correctness.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workspaceScope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Design Constraints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950"/>
        <w:gridCol w:w="5050"/>
        <w:gridCol w:w="950"/>
        <w:gridCol w:w="2410"/>
      </w:tblGrid>
      <w:tr>
        <w:trPr>
          <w:tblHeader/>
        </w:trPr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— “The system shall…”</w:t>
            </w:r>
          </w:p>
        </w:tc>
        <w:tc>
          <w:tcPr>
            <w:tcW w:type="dxa" w:w="95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241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DC-01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string columns + TypeScript unions for all role/status/sector/tier values (no DB enums).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schema/*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DC-02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 committed schema on the postgresql provider; SQLite is a local-dev convenience only.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prisma/schema/schema.prisma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DC-03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Organize code one folder per pillar with no loose root files in lib/.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lib/* doctrine</w:t>
            </w:r>
          </w:p>
        </w:tc>
      </w:tr>
      <w:tr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DC-04</w:t>
            </w:r>
          </w:p>
        </w:tc>
        <w:tc>
          <w:tcPr>
            <w:tcW w:type="dxa" w:w="50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 CRUD via server actions; reserve app/api for streaming, export, conversational, and protocol needs.</w:t>
            </w:r>
          </w:p>
        </w:tc>
        <w:tc>
          <w:tcPr>
            <w:tcW w:type="dxa" w:w="95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7B23"/>
                <w:sz w:val="18"/>
                <w:szCs w:val="18"/>
              </w:rPr>
              <w:t xml:space="preserve">M</w:t>
            </w:r>
          </w:p>
        </w:tc>
        <w:tc>
          <w:tcPr>
            <w:tcW w:type="dxa" w:w="241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(app)/&lt;resource&gt;/actions.ts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DC-05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Wrap every AI/parallel/external call in a server action in try/catch with a flashToast fallback.</w:t>
            </w:r>
          </w:p>
        </w:tc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</w:t>
            </w:r>
          </w:p>
        </w:tc>
        <w:tc>
          <w:tcPr>
            <w:tcW w:type="dxa" w:w="24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actions doctrine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3.5 Software System Attributes</w:t>
      </w:r>
    </w:p>
    <w:p>
      <w:pPr>
        <w:pStyle w:val="Heading3"/>
      </w:pPr>
      <w:r>
        <w:rPr>
          <w:rFonts w:ascii="Arial" w:cs="Arial" w:eastAsia="Arial" w:hAnsi="Arial"/>
        </w:rPr>
        <w:t xml:space="preserve">3.5.1 Reliability &amp; Availability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The system exposes health and readiness probes and degrades gracefully: missing LLM/embedding keys drop it to STUB/local mode rather than failing.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A green gate — typecheck, unit tests, and lint — is required before merge; a pure-unit Vitest suite covers lib/.</w:t>
      </w:r>
    </w:p>
    <w:p>
      <w:pPr>
        <w:pStyle w:val="Heading3"/>
      </w:pPr>
      <w:r>
        <w:rPr>
          <w:rFonts w:ascii="Arial" w:cs="Arial" w:eastAsia="Arial" w:hAnsi="Arial"/>
        </w:rPr>
        <w:t xml:space="preserve">3.5.2 Security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Passwords are bcrypt-hashed; sessions are encrypted, httpOnly cookies (iron-session).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Authorization is enforced at the route layer and the (admin) console is hard-gated to ADMIN.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Tenant isolation is enforced through a scoped client; cross-tenant access requires an explicit, annotated unscoped path.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Retrieved text is sanitized for prompt-injection and scope before it can ground a generated answer.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Secret comparisons (e.g., the cron secret) are constant-time; secrets are never committed and .env is gitignored.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Security headers (HSTS, X-Frame-Options, X-Content-Type-Options, Referrer-Policy, CSP) are applied.</w:t>
      </w:r>
    </w:p>
    <w:p>
      <w:pPr>
        <w:pStyle w:val="Heading3"/>
      </w:pPr>
      <w:r>
        <w:rPr>
          <w:rFonts w:ascii="Arial" w:cs="Arial" w:eastAsia="Arial" w:hAnsi="Arial"/>
        </w:rPr>
        <w:t xml:space="preserve">3.5.3 Maintainability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TypeScript strict mode; behaviour-preserving refactors; one concern per PR; PRs only — never direct pushes to main.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Prisma migrations under prisma/migrations are the production source of truth.</w:t>
      </w:r>
    </w:p>
    <w:p>
      <w:pPr>
        <w:pStyle w:val="Heading3"/>
      </w:pPr>
      <w:r>
        <w:rPr>
          <w:rFonts w:ascii="Arial" w:cs="Arial" w:eastAsia="Arial" w:hAnsi="Arial"/>
        </w:rPr>
        <w:t xml:space="preserve">3.5.4 Portability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The data layer is portable between PostgreSQL (production) and SQLite (development) via a provider flip; enums are avoided to preserve this.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White-label multi-tenancy lets the same build serve new organizations through configuration, not forks.</w:t>
      </w:r>
    </w:p>
    <w:p>
      <w:pPr>
        <w:pStyle w:val="Heading2"/>
      </w:pPr>
      <w:r>
        <w:rPr>
          <w:rFonts w:ascii="Arial" w:cs="Arial" w:eastAsia="Arial" w:hAnsi="Arial"/>
        </w:rPr>
        <w:t xml:space="preserve">3.6 Other Requirements</w:t>
      </w:r>
    </w:p>
    <w:p>
      <w:pPr>
        <w:pStyle w:val="Heading3"/>
      </w:pPr>
      <w:r>
        <w:rPr>
          <w:rFonts w:ascii="Arial" w:cs="Arial" w:eastAsia="Arial" w:hAnsi="Arial"/>
        </w:rPr>
        <w:t xml:space="preserve">3.6.1 Data requirements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The data model comprises 60+ Prisma models split one file per pillar under prisma/schema/. Money is stored in typed decimal columns; soft-deletable rows carry a deletedAt marker; tenant-keyed models carry a tenant discriminator. Appendix A summarizes the model inventory.</w:t>
      </w:r>
    </w:p>
    <w:p>
      <w:pPr>
        <w:pStyle w:val="Heading3"/>
      </w:pPr>
      <w:r>
        <w:rPr>
          <w:rFonts w:ascii="Arial" w:cs="Arial" w:eastAsia="Arial" w:hAnsi="Arial"/>
        </w:rPr>
        <w:t xml:space="preserve">3.6.2 Internationalization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Arabic is the default language with full RTL; English appears as a secondary label for inherently-English data (emails, codes, ISO values). Locale and theme are cookie-driven with no external runtime dictionary.</w:t>
      </w:r>
    </w:p>
    <w:p>
      <w:pPr>
        <w:pStyle w:val="Heading3"/>
      </w:pPr>
      <w:r>
        <w:rPr>
          <w:rFonts w:ascii="Arial" w:cs="Arial" w:eastAsia="Arial" w:hAnsi="Arial"/>
        </w:rPr>
        <w:t xml:space="preserve">3.6.3 Legal &amp; compliance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The platform is positioned for a supervised pilot; it does not constitute a statutory accounting, tax, or payroll system of record, and AI output is advisory and presented with an explicit trust indicator.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Appendix A — Data Model Summary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Representative models grouped by pillar schema file (non-exhaustive).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 (schema file)</w:t>
            </w:r>
          </w:p>
        </w:tc>
        <w:tc>
          <w:tcPr>
            <w:tcW w:type="dxa" w:w="260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models</w:t>
            </w:r>
          </w:p>
        </w:tc>
        <w:tc>
          <w:tcPr>
            <w:tcW w:type="dxa" w:w="446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User, RolePermission, ActivityLog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Identity, role/path permissions, audit trail.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companies</w:t>
            </w:r>
          </w:p>
        </w:tc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Company</w:t>
            </w:r>
          </w:p>
        </w:tc>
        <w:tc>
          <w:tcPr>
            <w:tcW w:type="dxa" w:w="4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 operating units by sector.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hotels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Hotel, Booking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Hospitality property and reservation lifecycle.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dairy</w:t>
            </w:r>
          </w:p>
        </w:tc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DairyBatch (+ source)</w:t>
            </w:r>
          </w:p>
        </w:tc>
        <w:tc>
          <w:tcPr>
            <w:tcW w:type="dxa" w:w="4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Milk batch production, grade, expiry.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agri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Farm, Crop (+ sensor reading)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Farm sensing and crop lifecycle/yield.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education</w:t>
            </w:r>
          </w:p>
        </w:tc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Program, Cohort</w:t>
            </w:r>
          </w:p>
        </w:tc>
        <w:tc>
          <w:tcPr>
            <w:tcW w:type="dxa" w:w="4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Incubator programs and cohorts.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Transaction, LedgerAccount, JournalEntry, JournalLine, FinancialPeriod, PurchaseOrder(Line), SalesOrder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Ledger, double-entry journals, period control, procurement/sales orders.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supply</w:t>
            </w:r>
          </w:p>
        </w:tc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SupplyForecast, Supplier, Customer, Product, InventoryMovement</w:t>
            </w:r>
          </w:p>
        </w:tc>
        <w:tc>
          <w:tcPr>
            <w:tcW w:type="dxa" w:w="4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Forecast-driven procurement and inventory.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brain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BrainNode, BrainEdge, CouncilSession, CouncilVoice, CouncilDiscussion, CouncilReply, Narrative, AIInsight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Causal graph, council, narration, insights.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documents</w:t>
            </w:r>
          </w:p>
        </w:tc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Document, DocExtraction, DocClause</w:t>
            </w:r>
          </w:p>
        </w:tc>
        <w:tc>
          <w:tcPr>
            <w:tcW w:type="dxa" w:w="4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 intelligence and clause risk.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protocol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ProtocolClause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Living operating protocol / public API governance.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tenancy</w:t>
            </w:r>
          </w:p>
        </w:tc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Tenant, TenantStep, TenantTheme, TenantPack, TenantImportMapping</w:t>
            </w:r>
          </w:p>
        </w:tc>
        <w:tc>
          <w:tcPr>
            <w:tcW w:type="dxa" w:w="4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White-label provisioning, theming, import mapping.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workflows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Workflow, WorkflowNode, WorkflowEdge, WorkflowRun</w:t>
            </w:r>
          </w:p>
        </w:tc>
        <w:tc>
          <w:tcPr>
            <w:tcW w:type="dxa" w:w="4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Visual automation graph and run traces.</w:t>
            </w:r>
          </w:p>
        </w:tc>
      </w:tr>
      <w:tr>
        <w:tc>
          <w:tcPr>
            <w:tcW w:type="dxa" w:w="23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engagement</w:t>
            </w:r>
          </w:p>
        </w:tc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Task, AlertRule, FutureProject, Message</w:t>
            </w:r>
          </w:p>
        </w:tc>
        <w:tc>
          <w:tcPr>
            <w:tcW w:type="dxa" w:w="446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 work items, alerts, projects, messaging.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Appendix B — Requirements Traceability Matrix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Each functional area traces to its primary code surface, enabling verification that every requirement is implemented and testable.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group</w:t>
            </w:r>
          </w:p>
        </w:tc>
        <w:tc>
          <w:tcPr>
            <w:tcW w:type="dxa" w:w="338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route(s)</w:t>
            </w:r>
          </w:p>
        </w:tc>
        <w:tc>
          <w:tcPr>
            <w:tcW w:type="dxa" w:w="3380"/>
            <w:shd w:fill="0F51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code/model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(AUTH)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(auth)/login, /logout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lib/auth/*; schema auth.prisma</w:t>
            </w:r>
          </w:p>
        </w:tc>
      </w:tr>
      <w:tr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 &amp; tenancy (RBAC/TEN)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(admin)/*; admin/genesis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src/proxy.ts; lib/tenancy/*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Hospitality (HOTEL)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(app)/hotels/**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hotels.prisma</w:t>
            </w:r>
          </w:p>
        </w:tc>
      </w:tr>
      <w:tr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Dairy (DAIRY)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(app)/dairy/**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dairy.prisma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Agriculture (AGRI)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(app)/farms/**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agri.prisma</w:t>
            </w:r>
          </w:p>
        </w:tc>
      </w:tr>
      <w:tr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Education (EDU)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(app)/education/**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education.prisma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 (FIN)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(app)/finance/**; admin/journal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finance.prisma</w:t>
            </w:r>
          </w:p>
        </w:tc>
      </w:tr>
      <w:tr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Supply chain (SUP)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(app)/supply-chain/**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supply.prisma; lib/supply/*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Documents (DOC)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(app)/documents/**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lib/docintel/*; schema documents.prisma</w:t>
            </w:r>
          </w:p>
        </w:tc>
      </w:tr>
      <w:tr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Brain (BRN)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(app)/brain/**; api/converse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lib/brain/** (tools, orchestrator, mcp)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Automation/alerts/realtime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(app)/workflows; /alerts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lib/workflows/*; lib/alerts/*; lib/realtime/*</w:t>
            </w:r>
          </w:p>
        </w:tc>
      </w:tr>
      <w:tr>
        <w:tc>
          <w:tcPr>
            <w:tcW w:type="dxa" w:w="260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Reporting/export/audit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api/export/*; /trash</w:t>
            </w:r>
          </w:p>
        </w:tc>
        <w:tc>
          <w:tcPr>
            <w:tcW w:type="dxa" w:w="3380"/>
            <w:shd w:fill="F3F6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lib/export/*; lib/db/softDelete.ts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Appendix C — Verification &amp; Acceptance</w:t>
      </w:r>
    </w:p>
    <w:p>
      <w:pPr>
        <w:spacing w:after="140" w:line="276"/>
        <w:jc w:val="both"/>
      </w:pPr>
      <w:r>
        <w:rPr>
          <w:rFonts w:ascii="Arial" w:cs="Arial" w:eastAsia="Arial" w:hAnsi="Arial"/>
        </w:rPr>
        <w:t xml:space="preserve">Requirements are verified through the following methods: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Test (T): </w:t>
      </w:r>
      <w:r>
        <w:rPr>
          <w:rFonts w:ascii="Arial" w:cs="Arial" w:eastAsia="Arial" w:hAnsi="Arial"/>
        </w:rPr>
        <w:t xml:space="preserve">the pure-unit Vitest suite over lib/ exercises Brain cores, RAG grading/guarding, and utilities.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Static analysis (S): </w:t>
      </w:r>
      <w:r>
        <w:rPr>
          <w:rFonts w:ascii="Arial" w:cs="Arial" w:eastAsia="Arial" w:hAnsi="Arial"/>
        </w:rPr>
        <w:t xml:space="preserve">TypeScript strict typecheck and ESLint must pass before merge.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Build (B): </w:t>
      </w:r>
      <w:r>
        <w:rPr>
          <w:rFonts w:ascii="Arial" w:cs="Arial" w:eastAsia="Arial" w:hAnsi="Arial"/>
        </w:rPr>
        <w:t xml:space="preserve">a production build gate confirms deploy-readiness for infrastructure-touching changes.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Demonstration (D): </w:t>
      </w:r>
      <w:r>
        <w:rPr>
          <w:rFonts w:ascii="Arial" w:cs="Arial" w:eastAsia="Arial" w:hAnsi="Arial"/>
        </w:rPr>
        <w:t xml:space="preserve">scripted doctor and smoke checks (brain:doctor, brain:mcp:smoke) prove the data link and MCP transport end-to-end.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Inspection (I): </w:t>
      </w:r>
      <w:r>
        <w:rPr>
          <w:rFonts w:ascii="Arial" w:cs="Arial" w:eastAsia="Arial" w:hAnsi="Arial"/>
        </w:rPr>
        <w:t xml:space="preserve">design-vocabulary, isolation, and i18n reviews via dedicated review agents.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color w:val="0F5132"/>
        </w:rPr>
        <w:t xml:space="preserve">Acceptance criterion. </w:t>
      </w:r>
      <w:r>
        <w:rPr>
          <w:rFonts w:ascii="Arial" w:cs="Arial" w:eastAsia="Arial" w:hAnsi="Arial"/>
        </w:rPr>
        <w:t xml:space="preserve">The baseline is accepted when typecheck, unit tests, and lint pass; the production build succeeds; the Brain reads its database cleanly in both STUB and LIVE modes; and every Section 3.2 requirement traces to an implemented, exercisable surface per Appendix B.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</w:rPr>
        <w:t xml:space="preserve">— End of Software Requirements Specification —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H-Nerve ERP — Software Requirements Specification (IEEE 830-1998)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 — Hourani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9DF" w:sz="6" w:space="4"/>
      </w:pBdr>
      <w:spacing w:after="160" w:before="280"/>
      <w:outlineLvl w:val="0"/>
    </w:pPr>
    <w:rPr>
      <w:rFonts w:ascii="Arial" w:cs="Arial" w:eastAsia="Arial" w:hAnsi="Arial"/>
      <w:b/>
      <w:bCs/>
      <w:color w:val="0F51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9A7B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H-Nerve ERP — Software Requirements Specification</dc:title>
  <dc:creator>Anas Hasiba</dc:creator>
  <dc:description>IEEE 830-1998 SRS for H-Nerve ERP</dc:description>
  <cp:lastModifiedBy>Un-named</cp:lastModifiedBy>
  <cp:revision>1</cp:revision>
  <dcterms:created xsi:type="dcterms:W3CDTF">2026-06-12T16:53:19.639Z</dcterms:created>
  <dcterms:modified xsi:type="dcterms:W3CDTF">2026-06-12T16:53:19.640Z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