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F711C7" w:rsidRDefault="0078240C" w:rsidP="00085664">
      <w:pPr>
        <w:pStyle w:val="3"/>
        <w:bidi/>
        <w:spacing w:before="0" w:after="0"/>
        <w:jc w:val="both"/>
        <w:rPr>
          <w:rFonts w:ascii="Sakkal Majalla" w:eastAsia="Verdana" w:hAnsi="Sakkal Majalla" w:cs="Sakkal Majalla"/>
          <w:b w:val="0"/>
          <w:bCs/>
          <w:sz w:val="24"/>
          <w:szCs w:val="24"/>
          <w:rtl/>
          <w:lang w:val="en-US"/>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37E8AF3E" w:rsidR="0063758D" w:rsidRPr="00085664" w:rsidRDefault="003367C9" w:rsidP="00085664">
            <w:pPr>
              <w:bidi/>
              <w:rPr>
                <w:rFonts w:ascii="Sakkal Majalla" w:hAnsi="Sakkal Majalla" w:cs="Sakkal Majalla"/>
                <w:highlight w:val="yellow"/>
                <w:rtl/>
              </w:rPr>
            </w:pPr>
            <w:r>
              <w:rPr>
                <w:rFonts w:ascii="Sakkal Majalla" w:hAnsi="Sakkal Majalla" w:cs="Sakkal Majalla" w:hint="cs"/>
                <w:highlight w:val="yellow"/>
                <w:rtl/>
              </w:rPr>
              <w:t xml:space="preserve">محمود حسين سالم العشيبات </w:t>
            </w:r>
          </w:p>
          <w:p w14:paraId="499F50DD" w14:textId="2ECE4F20" w:rsidR="00085664" w:rsidRPr="00085664" w:rsidRDefault="00F5793B" w:rsidP="00085664">
            <w:pPr>
              <w:bidi/>
              <w:rPr>
                <w:rFonts w:ascii="Sakkal Majalla" w:hAnsi="Sakkal Majalla" w:cs="Sakkal Majalla"/>
                <w:lang w:val="en-US" w:bidi="ar-JO"/>
              </w:rPr>
            </w:pPr>
            <w:r>
              <w:rPr>
                <w:rFonts w:ascii="Sakkal Majalla" w:hAnsi="Sakkal Majalla" w:cs="Sakkal Majalla"/>
                <w:b/>
                <w:bCs/>
                <w:lang w:val="en-US" w:bidi="ar-JO"/>
              </w:rPr>
              <w:t>M</w:t>
            </w:r>
            <w:r w:rsidR="003367C9">
              <w:rPr>
                <w:rFonts w:ascii="Sakkal Majalla" w:hAnsi="Sakkal Majalla" w:cs="Sakkal Majalla"/>
                <w:b/>
                <w:bCs/>
                <w:lang w:val="en-US" w:bidi="ar-JO"/>
              </w:rPr>
              <w:t>AHMOUD ALOSHIBAT</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CF5CA6"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F5CA6" w:rsidRDefault="00DC5398" w:rsidP="006C0845">
                  <w:pPr>
                    <w:bidi/>
                    <w:jc w:val="center"/>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151659AF"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حدد الطالب/</w:t>
                  </w:r>
                  <w:proofErr w:type="gramStart"/>
                  <w:r>
                    <w:rPr>
                      <w:rFonts w:ascii="Sakkal Majalla" w:eastAsia="Batang" w:hAnsi="Sakkal Majalla" w:cs="Sakkal Majalla" w:hint="cs"/>
                      <w:b/>
                      <w:bCs/>
                      <w:color w:val="auto"/>
                      <w:sz w:val="22"/>
                      <w:szCs w:val="22"/>
                      <w:rtl/>
                      <w:lang w:eastAsia="en-US"/>
                    </w:rPr>
                    <w:t>ة  المصادر</w:t>
                  </w:r>
                  <w:proofErr w:type="gramEnd"/>
                  <w:r>
                    <w:rPr>
                      <w:rFonts w:ascii="Sakkal Majalla" w:eastAsia="Batang" w:hAnsi="Sakkal Majalla" w:cs="Sakkal Majalla" w:hint="cs"/>
                      <w:b/>
                      <w:bCs/>
                      <w:color w:val="auto"/>
                      <w:sz w:val="22"/>
                      <w:szCs w:val="22"/>
                      <w:rtl/>
                      <w:lang w:eastAsia="en-US"/>
                    </w:rPr>
                    <w:t xml:space="preserve"> المختلفة ل العمل التجاري كما هو في السيناريو      (     </w:t>
                  </w:r>
                  <w:r w:rsidR="00CF5CA6">
                    <w:rPr>
                      <w:rFonts w:ascii="Sakkal Majalla" w:eastAsia="Batang" w:hAnsi="Sakkal Majalla" w:cs="Sakkal Majalla" w:hint="cs"/>
                      <w:b/>
                      <w:bCs/>
                      <w:color w:val="auto"/>
                      <w:sz w:val="22"/>
                      <w:szCs w:val="22"/>
                      <w:highlight w:val="yellow"/>
                      <w:rtl/>
                      <w:lang w:eastAsia="en-US"/>
                    </w:rPr>
                    <w:t>لا</w:t>
                  </w:r>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hint="cs"/>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hint="cs"/>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rPr>
            </w:pPr>
          </w:p>
          <w:p w14:paraId="5CE9D359" w14:textId="77777777" w:rsidR="002B224A" w:rsidRDefault="002B224A" w:rsidP="00CF3213">
            <w:pPr>
              <w:bidi/>
              <w:rPr>
                <w:rFonts w:ascii="Sakkal Majalla" w:hAnsi="Sakkal Majalla" w:cs="Sakkal Majalla"/>
              </w:rPr>
            </w:pPr>
            <w:bookmarkStart w:id="1" w:name="_GoBack"/>
            <w:bookmarkEnd w:id="1"/>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D8430" w14:textId="77777777" w:rsidR="00BF5EB5" w:rsidRDefault="00BF5EB5">
      <w:r>
        <w:separator/>
      </w:r>
    </w:p>
  </w:endnote>
  <w:endnote w:type="continuationSeparator" w:id="0">
    <w:p w14:paraId="3EE7B2D9" w14:textId="77777777" w:rsidR="00BF5EB5" w:rsidRDefault="00BF5EB5">
      <w:r>
        <w:continuationSeparator/>
      </w:r>
    </w:p>
  </w:endnote>
  <w:endnote w:type="continuationNotice" w:id="1">
    <w:p w14:paraId="765AC69F" w14:textId="77777777" w:rsidR="00BF5EB5" w:rsidRDefault="00BF5E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20731" w14:textId="77777777" w:rsidR="00BF5EB5" w:rsidRDefault="00BF5EB5">
      <w:bookmarkStart w:id="0" w:name="_Hlk14179992"/>
      <w:bookmarkEnd w:id="0"/>
      <w:r>
        <w:separator/>
      </w:r>
    </w:p>
  </w:footnote>
  <w:footnote w:type="continuationSeparator" w:id="0">
    <w:p w14:paraId="1E6D2A6A" w14:textId="77777777" w:rsidR="00BF5EB5" w:rsidRDefault="00BF5EB5">
      <w:r>
        <w:continuationSeparator/>
      </w:r>
    </w:p>
  </w:footnote>
  <w:footnote w:type="continuationNotice" w:id="1">
    <w:p w14:paraId="071C912F" w14:textId="77777777" w:rsidR="00BF5EB5" w:rsidRDefault="00BF5E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67C9"/>
    <w:rsid w:val="003375DE"/>
    <w:rsid w:val="003435F3"/>
    <w:rsid w:val="00343B46"/>
    <w:rsid w:val="003B6044"/>
    <w:rsid w:val="003C137D"/>
    <w:rsid w:val="003C2CAA"/>
    <w:rsid w:val="003E01F4"/>
    <w:rsid w:val="0041252E"/>
    <w:rsid w:val="00435FAE"/>
    <w:rsid w:val="004433B4"/>
    <w:rsid w:val="00446C82"/>
    <w:rsid w:val="00471C1E"/>
    <w:rsid w:val="00486C81"/>
    <w:rsid w:val="004973A6"/>
    <w:rsid w:val="004A0B31"/>
    <w:rsid w:val="004B213E"/>
    <w:rsid w:val="004C1A9B"/>
    <w:rsid w:val="004C4FE9"/>
    <w:rsid w:val="004D1EEA"/>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4CD5"/>
    <w:rsid w:val="0080106C"/>
    <w:rsid w:val="00817D41"/>
    <w:rsid w:val="008314B6"/>
    <w:rsid w:val="00840CDE"/>
    <w:rsid w:val="008472FC"/>
    <w:rsid w:val="00852CE0"/>
    <w:rsid w:val="008709D5"/>
    <w:rsid w:val="00886225"/>
    <w:rsid w:val="008C3CFA"/>
    <w:rsid w:val="008C5C3C"/>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C0C3F"/>
    <w:rsid w:val="00AF10A3"/>
    <w:rsid w:val="00B2658F"/>
    <w:rsid w:val="00B316BB"/>
    <w:rsid w:val="00B41509"/>
    <w:rsid w:val="00B5405F"/>
    <w:rsid w:val="00B658DC"/>
    <w:rsid w:val="00B70027"/>
    <w:rsid w:val="00B7719C"/>
    <w:rsid w:val="00BB7A34"/>
    <w:rsid w:val="00BF5EB5"/>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CF5CA6"/>
    <w:rsid w:val="00D45DC1"/>
    <w:rsid w:val="00D577A0"/>
    <w:rsid w:val="00D60461"/>
    <w:rsid w:val="00D65AD6"/>
    <w:rsid w:val="00D85428"/>
    <w:rsid w:val="00DC17D1"/>
    <w:rsid w:val="00DC5398"/>
    <w:rsid w:val="00DE5B8A"/>
    <w:rsid w:val="00E32A34"/>
    <w:rsid w:val="00E32F9C"/>
    <w:rsid w:val="00E4049D"/>
    <w:rsid w:val="00E40966"/>
    <w:rsid w:val="00E91B04"/>
    <w:rsid w:val="00EA1FF5"/>
    <w:rsid w:val="00EC1F8B"/>
    <w:rsid w:val="00ED09CB"/>
    <w:rsid w:val="00ED2514"/>
    <w:rsid w:val="00EE068D"/>
    <w:rsid w:val="00F00780"/>
    <w:rsid w:val="00F22E4D"/>
    <w:rsid w:val="00F23437"/>
    <w:rsid w:val="00F424E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4.xml><?xml version="1.0" encoding="utf-8"?>
<ds:datastoreItem xmlns:ds="http://schemas.openxmlformats.org/officeDocument/2006/customXml" ds:itemID="{0919C769-D2C9-4333-B5B2-85F71BCFC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372</Words>
  <Characters>2122</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48</cp:revision>
  <cp:lastPrinted>2015-11-03T18:27:00Z</cp:lastPrinted>
  <dcterms:created xsi:type="dcterms:W3CDTF">2023-12-02T06:57:00Z</dcterms:created>
  <dcterms:modified xsi:type="dcterms:W3CDTF">2023-12-02T18:54:00Z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