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شتوي عمر المعاقلة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SHTIWI ALMAGLAH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