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وليد توفيق النوايشة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D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