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محمد إبراهيم المردات</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MOHAMMAD ALMARADAT</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