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val="0"/>
          <w:i/>
          <w:color w:val="555555"/>
          <w:sz w:val="26"/>
        </w:rPr>
        <w:t>A Real-Time Research Project Report on</w:t>
      </w:r>
    </w:p>
    <w:p>
      <w:pPr>
        <w:spacing w:after="40"/>
        <w:jc w:val="center"/>
      </w:pPr>
      <w:r>
        <w:rPr>
          <w:rFonts w:ascii="Arial" w:hAnsi="Arial"/>
          <w:b/>
          <w:i w:val="0"/>
          <w:color w:val="1F4E79"/>
          <w:sz w:val="44"/>
        </w:rPr>
        <w:t>LEARNING IN FOCUS</w:t>
      </w:r>
    </w:p>
    <w:p>
      <w:pPr>
        <w:spacing w:after="20"/>
        <w:jc w:val="center"/>
      </w:pPr>
      <w:r>
        <w:rPr>
          <w:rFonts w:ascii="Arial" w:hAnsi="Arial"/>
          <w:b/>
          <w:i w:val="0"/>
          <w:sz w:val="28"/>
        </w:rPr>
        <w:t>A Vision-Transformer System for Real-Time Student</w:t>
      </w:r>
    </w:p>
    <w:p>
      <w:pPr>
        <w:spacing w:after="240"/>
        <w:jc w:val="center"/>
      </w:pPr>
      <w:r>
        <w:rPr>
          <w:rFonts w:ascii="Arial" w:hAnsi="Arial"/>
          <w:b/>
          <w:i w:val="0"/>
          <w:sz w:val="28"/>
        </w:rPr>
        <w:t>Engagement and Collaboration Analysis</w:t>
      </w:r>
    </w:p>
    <w:p>
      <w:pPr>
        <w:spacing w:after="20"/>
        <w:jc w:val="center"/>
      </w:pPr>
      <w:r>
        <w:rPr>
          <w:rFonts w:ascii="Arial" w:hAnsi="Arial"/>
          <w:b w:val="0"/>
          <w:i w:val="0"/>
          <w:sz w:val="22"/>
        </w:rPr>
        <w:t>Submitted in partial fulfillment of the requirements for the</w:t>
      </w:r>
    </w:p>
    <w:p>
      <w:pPr>
        <w:spacing w:after="240"/>
        <w:jc w:val="center"/>
      </w:pPr>
      <w:r>
        <w:rPr>
          <w:rFonts w:ascii="Arial" w:hAnsi="Arial"/>
          <w:b w:val="0"/>
          <w:i w:val="0"/>
          <w:sz w:val="22"/>
        </w:rPr>
        <w:t>B.Tech II Year II Semester course — Real-Time Research Project (RTRP)</w:t>
      </w:r>
    </w:p>
    <w:p>
      <w:pPr>
        <w:spacing w:after="160"/>
        <w:jc w:val="center"/>
      </w:pPr>
      <w:r>
        <w:rPr>
          <w:rFonts w:ascii="Arial" w:hAnsi="Arial"/>
          <w:b w:val="0"/>
          <w:i/>
          <w:sz w:val="24"/>
        </w:rPr>
        <w:t>By</w:t>
      </w:r>
    </w:p>
    <w:p>
      <w:pPr>
        <w:spacing w:after="60"/>
        <w:jc w:val="center"/>
      </w:pPr>
      <w:r>
        <w:rPr>
          <w:rFonts w:ascii="Arial" w:hAnsi="Arial"/>
          <w:b/>
          <w:i w:val="0"/>
          <w:sz w:val="23"/>
        </w:rPr>
        <w:t>Md Anas      —      24BD1A6655</w:t>
      </w:r>
    </w:p>
    <w:p>
      <w:pPr>
        <w:spacing w:after="60"/>
        <w:jc w:val="center"/>
      </w:pPr>
      <w:r>
        <w:rPr>
          <w:rFonts w:ascii="Arial" w:hAnsi="Arial"/>
          <w:b/>
          <w:i w:val="0"/>
          <w:sz w:val="23"/>
        </w:rPr>
        <w:t>A. Nikhil      —      24BD1A6642</w:t>
      </w:r>
    </w:p>
    <w:p>
      <w:pPr>
        <w:spacing w:after="60"/>
        <w:jc w:val="center"/>
      </w:pPr>
      <w:r>
        <w:rPr>
          <w:rFonts w:ascii="Arial" w:hAnsi="Arial"/>
          <w:b/>
          <w:i w:val="0"/>
          <w:sz w:val="23"/>
        </w:rPr>
        <w:t>Y. Lohith Reddy      —      24BD1A66K3</w:t>
      </w:r>
    </w:p>
    <w:p>
      <w:pPr>
        <w:spacing w:after="60"/>
        <w:jc w:val="center"/>
      </w:pPr>
      <w:r>
        <w:rPr>
          <w:rFonts w:ascii="Arial" w:hAnsi="Arial"/>
          <w:b/>
          <w:i w:val="0"/>
          <w:sz w:val="23"/>
        </w:rPr>
        <w:t>Boru Tejaswini      —      24BD1A6646</w:t>
      </w:r>
    </w:p>
    <w:p>
      <w:pPr>
        <w:spacing w:after="60"/>
        <w:jc w:val="center"/>
      </w:pPr>
      <w:r>
        <w:rPr>
          <w:rFonts w:ascii="Arial" w:hAnsi="Arial"/>
          <w:b/>
          <w:i w:val="0"/>
          <w:sz w:val="23"/>
        </w:rPr>
        <w:t>Kanak Kabra      —      24BD1A664T</w:t>
      </w:r>
    </w:p>
    <w:p>
      <w:pPr>
        <w:spacing w:after="160"/>
        <w:jc w:val="center"/>
      </w:pPr>
      <w:r>
        <w:rPr>
          <w:rFonts w:ascii="Arial" w:hAnsi="Arial"/>
          <w:b w:val="0"/>
          <w:i w:val="0"/>
          <w:sz w:val="22"/>
        </w:rPr>
      </w:r>
    </w:p>
    <w:p>
      <w:pPr>
        <w:spacing w:after="80"/>
        <w:jc w:val="center"/>
      </w:pPr>
      <w:r>
        <w:rPr>
          <w:rFonts w:ascii="Arial" w:hAnsi="Arial"/>
          <w:b w:val="0"/>
          <w:i/>
          <w:sz w:val="24"/>
        </w:rPr>
        <w:t>Under the guidance of</w:t>
      </w:r>
    </w:p>
    <w:p>
      <w:pPr>
        <w:spacing w:after="20"/>
        <w:jc w:val="center"/>
      </w:pPr>
      <w:r>
        <w:rPr>
          <w:rFonts w:ascii="Arial" w:hAnsi="Arial"/>
          <w:b/>
          <w:i w:val="0"/>
          <w:sz w:val="25"/>
        </w:rPr>
        <w:t>Ms. Nidhi Srivastav</w:t>
      </w:r>
    </w:p>
    <w:p>
      <w:pPr>
        <w:spacing w:after="280"/>
        <w:jc w:val="center"/>
      </w:pPr>
      <w:r>
        <w:rPr>
          <w:rFonts w:ascii="Arial" w:hAnsi="Arial"/>
          <w:b w:val="0"/>
          <w:i w:val="0"/>
          <w:color w:val="555555"/>
          <w:sz w:val="22"/>
        </w:rPr>
        <w:t>Assistant Professor, Department of CSE (AI &amp; ML)</w:t>
      </w:r>
    </w:p>
    <w:p>
      <w:pPr>
        <w:spacing w:after="120"/>
        <w:pBdr>
          <w:bottom w:val="single" w:sz="8" w:space="1" w:color="1F4E79"/>
        </w:pBdr>
      </w:pPr>
    </w:p>
    <w:p>
      <w:pPr>
        <w:spacing w:after="20"/>
        <w:jc w:val="center"/>
      </w:pPr>
      <w:r>
        <w:rPr>
          <w:rFonts w:ascii="Arial" w:hAnsi="Arial"/>
          <w:b/>
          <w:i w:val="0"/>
          <w:color w:val="1F4E79"/>
          <w:sz w:val="28"/>
        </w:rPr>
        <w:t>KESHAV MEMORIAL INSTITUTE OF TECHNOLOGY</w:t>
      </w:r>
    </w:p>
    <w:p>
      <w:pPr>
        <w:spacing w:after="20"/>
        <w:jc w:val="center"/>
      </w:pPr>
      <w:r>
        <w:rPr>
          <w:rFonts w:ascii="Arial" w:hAnsi="Arial"/>
          <w:b w:val="0"/>
          <w:i w:val="0"/>
          <w:sz w:val="21"/>
        </w:rPr>
        <w:t>(AN AUTONOMOUS INSTITUTION)</w:t>
      </w:r>
    </w:p>
    <w:p>
      <w:pPr>
        <w:spacing w:after="20"/>
        <w:jc w:val="center"/>
      </w:pPr>
      <w:r>
        <w:rPr>
          <w:rFonts w:ascii="Arial" w:hAnsi="Arial"/>
          <w:b w:val="0"/>
          <w:i w:val="0"/>
          <w:color w:val="555555"/>
          <w:sz w:val="20"/>
        </w:rPr>
        <w:t>Accredited by NBA &amp; NAAC · Approved by AICTE · Affiliated to JNTUH</w:t>
      </w:r>
    </w:p>
    <w:p>
      <w:pPr>
        <w:spacing w:after="40"/>
        <w:jc w:val="center"/>
      </w:pPr>
      <w:r>
        <w:rPr>
          <w:rFonts w:ascii="Arial" w:hAnsi="Arial"/>
          <w:b w:val="0"/>
          <w:i w:val="0"/>
          <w:color w:val="555555"/>
          <w:sz w:val="20"/>
        </w:rPr>
        <w:t>Narayanaguda, Hyderabad, Telangana – 500029</w:t>
      </w:r>
    </w:p>
    <w:p>
      <w:pPr>
        <w:spacing w:after="40"/>
        <w:jc w:val="center"/>
      </w:pPr>
      <w:r>
        <w:rPr>
          <w:rFonts w:ascii="Arial" w:hAnsi="Arial"/>
          <w:b/>
          <w:i w:val="0"/>
          <w:sz w:val="22"/>
        </w:rPr>
        <w:t>Academic Year 2025 – 26</w:t>
      </w:r>
    </w:p>
    <w:p>
      <w:r>
        <w:br w:type="page"/>
      </w:r>
    </w:p>
    <w:p>
      <w:pPr>
        <w:pStyle w:val="Heading1"/>
      </w:pPr>
      <w:r>
        <w:rPr>
          <w:rFonts w:ascii="Arial" w:hAnsi="Arial"/>
          <w:b/>
          <w:color w:val="1F4E79"/>
          <w:sz w:val="30"/>
        </w:rPr>
        <w:t>CERTIFICATE</w:t>
      </w:r>
    </w:p>
    <w:p>
      <w:pPr>
        <w:spacing w:after="120" w:line="293" w:lineRule="auto"/>
        <w:jc w:val="both"/>
      </w:pPr>
      <w:r>
        <w:rPr>
          <w:rFonts w:ascii="Arial" w:hAnsi="Arial"/>
          <w:b w:val="0"/>
          <w:i w:val="0"/>
          <w:sz w:val="22"/>
        </w:rPr>
        <w:t>This is to certify that this is a bonafide record of the project report titled “Learning in Focus — A Vision-Transformer System for Real-Time Student Engagement and Collaboration Analysis”, which is being presented as the Real-Time Research Project report by:</w:t>
      </w:r>
    </w:p>
    <w:p>
      <w:pPr>
        <w:spacing w:after="60"/>
        <w:jc w:val="center"/>
      </w:pPr>
      <w:r>
        <w:rPr>
          <w:rFonts w:ascii="Arial" w:hAnsi="Arial"/>
          <w:b/>
          <w:i w:val="0"/>
          <w:sz w:val="23"/>
        </w:rPr>
        <w:t>Md Anas      —      24BD1A6655</w:t>
      </w:r>
    </w:p>
    <w:p>
      <w:pPr>
        <w:spacing w:after="60"/>
        <w:jc w:val="center"/>
      </w:pPr>
      <w:r>
        <w:rPr>
          <w:rFonts w:ascii="Arial" w:hAnsi="Arial"/>
          <w:b/>
          <w:i w:val="0"/>
          <w:sz w:val="23"/>
        </w:rPr>
        <w:t>A. Nikhil      —      24BD1A6642</w:t>
      </w:r>
    </w:p>
    <w:p>
      <w:pPr>
        <w:spacing w:after="60"/>
        <w:jc w:val="center"/>
      </w:pPr>
      <w:r>
        <w:rPr>
          <w:rFonts w:ascii="Arial" w:hAnsi="Arial"/>
          <w:b/>
          <w:i w:val="0"/>
          <w:sz w:val="23"/>
        </w:rPr>
        <w:t>Y. Lohith Reddy      —      24BD1A66K3</w:t>
      </w:r>
    </w:p>
    <w:p>
      <w:pPr>
        <w:spacing w:after="60"/>
        <w:jc w:val="center"/>
      </w:pPr>
      <w:r>
        <w:rPr>
          <w:rFonts w:ascii="Arial" w:hAnsi="Arial"/>
          <w:b/>
          <w:i w:val="0"/>
          <w:sz w:val="23"/>
        </w:rPr>
        <w:t>Boru Tejaswini      —      24BD1A6646</w:t>
      </w:r>
    </w:p>
    <w:p>
      <w:pPr>
        <w:spacing w:after="60"/>
        <w:jc w:val="center"/>
      </w:pPr>
      <w:r>
        <w:rPr>
          <w:rFonts w:ascii="Arial" w:hAnsi="Arial"/>
          <w:b/>
          <w:i w:val="0"/>
          <w:sz w:val="23"/>
        </w:rPr>
        <w:t>Kanak Kabra      —      24BD1A664T</w:t>
      </w:r>
    </w:p>
    <w:p>
      <w:pPr>
        <w:spacing w:after="360" w:line="293" w:lineRule="auto"/>
        <w:jc w:val="both"/>
      </w:pPr>
      <w:r>
        <w:rPr>
          <w:rFonts w:ascii="Arial" w:hAnsi="Arial"/>
          <w:b w:val="0"/>
          <w:i w:val="0"/>
          <w:sz w:val="22"/>
        </w:rPr>
        <w:t>in partial fulfillment for the II Year II Semester Course RTRP in Keshav Memorial Institute of Technology, affiliated to the Jawaharlal Nehru Technological University, Hyderabad, during the academic year 2025–26. The work has been carried out by the team under guidance and has not been submitted to any other course or institution.</w:t>
      </w:r>
    </w:p>
    <w:p>
      <w:pPr>
        <w:spacing w:after="480"/>
        <w:jc w:val="center"/>
      </w:pPr>
      <w:r>
        <w:rPr>
          <w:rFonts w:ascii="Arial" w:hAnsi="Arial"/>
          <w:b w:val="0"/>
          <w:i w:val="0"/>
          <w:sz w:val="22"/>
        </w:rPr>
      </w:r>
    </w:p>
    <w:tbl>
      <w:tblPr>
        <w:tblW w:type="auto" w:w="0"/>
        <w:tblLayout w:type="autofit"/>
        <w:tblLook w:firstColumn="1" w:firstRow="1" w:lastColumn="0" w:lastRow="0" w:noHBand="0" w:noVBand="1" w:val="04A0"/>
      </w:tblPr>
      <w:tblGrid>
        <w:gridCol w:w="4680"/>
        <w:gridCol w:w="4680"/>
      </w:tblGrid>
      <w:tr>
        <w:tc>
          <w:tcPr>
            <w:tcW w:type="dxa" w:w="4680"/>
          </w:tcPr>
          <w:p>
            <w:r/>
            <w:r>
              <w:rPr>
                <w:rFonts w:ascii="Arial" w:hAnsi="Arial"/>
                <w:b w:val="0"/>
                <w:sz w:val="22"/>
              </w:rPr>
              <w:t>________________________</w:t>
            </w:r>
          </w:p>
          <w:p>
            <w:r>
              <w:rPr>
                <w:rFonts w:ascii="Arial" w:hAnsi="Arial"/>
                <w:b/>
                <w:sz w:val="22"/>
              </w:rPr>
              <w:t>Ms. Nidhi Srivastav</w:t>
            </w:r>
          </w:p>
          <w:p>
            <w:r>
              <w:rPr>
                <w:rFonts w:ascii="Arial" w:hAnsi="Arial"/>
                <w:b w:val="0"/>
                <w:sz w:val="22"/>
              </w:rPr>
              <w:t>Project Mentor</w:t>
            </w:r>
          </w:p>
          <w:p>
            <w:r>
              <w:rPr>
                <w:rFonts w:ascii="Arial" w:hAnsi="Arial"/>
                <w:b w:val="0"/>
                <w:sz w:val="22"/>
              </w:rPr>
              <w:t>(Assistant Professor, CSE-AIML)</w:t>
            </w:r>
          </w:p>
        </w:tc>
        <w:tc>
          <w:tcPr>
            <w:tcW w:type="dxa" w:w="4680"/>
          </w:tcPr>
          <w:p>
            <w:r/>
            <w:r>
              <w:rPr>
                <w:rFonts w:ascii="Arial" w:hAnsi="Arial"/>
                <w:b w:val="0"/>
                <w:sz w:val="22"/>
              </w:rPr>
              <w:t>________________________</w:t>
            </w:r>
          </w:p>
          <w:p>
            <w:r>
              <w:rPr>
                <w:rFonts w:ascii="Arial" w:hAnsi="Arial"/>
                <w:b/>
                <w:sz w:val="22"/>
              </w:rPr>
              <w:t>Mr. Shailesh Gangakhedkar</w:t>
            </w:r>
          </w:p>
          <w:p>
            <w:r>
              <w:rPr>
                <w:rFonts w:ascii="Arial" w:hAnsi="Arial"/>
                <w:b w:val="0"/>
                <w:sz w:val="22"/>
              </w:rPr>
              <w:t>RTRP Program Coordinator</w:t>
            </w:r>
          </w:p>
          <w:p>
            <w:r>
              <w:rPr>
                <w:rFonts w:ascii="Arial" w:hAnsi="Arial"/>
                <w:b w:val="0"/>
                <w:sz w:val="22"/>
              </w:rPr>
            </w:r>
          </w:p>
        </w:tc>
      </w:tr>
    </w:tbl>
    <w:p>
      <w:pPr>
        <w:spacing w:after="360" w:line="293" w:lineRule="auto"/>
        <w:jc w:val="both"/>
      </w:pPr>
      <w:r>
        <w:rPr>
          <w:rFonts w:ascii="Arial" w:hAnsi="Arial"/>
          <w:b w:val="0"/>
          <w:i w:val="0"/>
          <w:sz w:val="22"/>
        </w:rPr>
      </w:r>
    </w:p>
    <w:p>
      <w:pPr>
        <w:spacing w:after="80" w:line="293" w:lineRule="auto"/>
        <w:jc w:val="both"/>
      </w:pPr>
      <w:r>
        <w:rPr>
          <w:rFonts w:ascii="Arial" w:hAnsi="Arial"/>
          <w:b w:val="0"/>
          <w:i w:val="0"/>
          <w:sz w:val="22"/>
        </w:rPr>
        <w:t>Submitted for the Final Project Review held on:  ____________________________</w:t>
      </w:r>
    </w:p>
    <w:p>
      <w:r>
        <w:br w:type="page"/>
      </w:r>
    </w:p>
    <w:p>
      <w:pPr>
        <w:pStyle w:val="Heading1"/>
      </w:pPr>
      <w:r>
        <w:rPr>
          <w:rFonts w:ascii="Arial" w:hAnsi="Arial"/>
          <w:b/>
          <w:color w:val="1F4E79"/>
          <w:sz w:val="30"/>
        </w:rPr>
        <w:t>VISION &amp; MISSION OF THE INSTITUTE</w:t>
      </w:r>
    </w:p>
    <w:p>
      <w:pPr>
        <w:pStyle w:val="Heading2"/>
      </w:pPr>
      <w:r>
        <w:rPr>
          <w:rFonts w:ascii="Arial" w:hAnsi="Arial"/>
          <w:b/>
          <w:color w:val="1F4E79"/>
          <w:sz w:val="25"/>
        </w:rPr>
        <w:t>Vision</w:t>
      </w:r>
    </w:p>
    <w:p>
      <w:pPr>
        <w:spacing w:after="120" w:line="293" w:lineRule="auto"/>
        <w:jc w:val="both"/>
      </w:pPr>
      <w:r>
        <w:rPr>
          <w:rFonts w:ascii="Arial" w:hAnsi="Arial"/>
          <w:b w:val="0"/>
          <w:i w:val="0"/>
          <w:sz w:val="22"/>
        </w:rPr>
        <w:t>To be the fountain head in producing highly skilled, globally competent engineers — producing quality graduates trained in the latest software technologies and related tools, and striving to make India a world leader in software products and services.</w:t>
      </w:r>
    </w:p>
    <w:p>
      <w:pPr>
        <w:pStyle w:val="Heading2"/>
      </w:pPr>
      <w:r>
        <w:rPr>
          <w:rFonts w:ascii="Arial" w:hAnsi="Arial"/>
          <w:b/>
          <w:color w:val="1F4E79"/>
          <w:sz w:val="25"/>
        </w:rPr>
        <w:t>Mission</w:t>
      </w:r>
    </w:p>
    <w:p>
      <w:pPr>
        <w:pStyle w:val="ListBullet"/>
        <w:spacing w:after="60"/>
      </w:pPr>
      <w:r>
        <w:rPr>
          <w:rFonts w:ascii="Arial" w:hAnsi="Arial"/>
          <w:sz w:val="22"/>
        </w:rPr>
        <w:t>To provide a learning environment that inculcates problem-solving skills, professional and ethical responsibilities, and life-long learning through multi-modal platforms, preparing students to become successful professionals.</w:t>
      </w:r>
    </w:p>
    <w:p>
      <w:pPr>
        <w:pStyle w:val="ListBullet"/>
        <w:spacing w:after="60"/>
      </w:pPr>
      <w:r>
        <w:rPr>
          <w:rFonts w:ascii="Arial" w:hAnsi="Arial"/>
          <w:sz w:val="22"/>
        </w:rPr>
        <w:t>To establish industry-institute interaction to make students ready for the industry.</w:t>
      </w:r>
    </w:p>
    <w:p>
      <w:pPr>
        <w:pStyle w:val="ListBullet"/>
        <w:spacing w:after="60"/>
      </w:pPr>
      <w:r>
        <w:rPr>
          <w:rFonts w:ascii="Arial" w:hAnsi="Arial"/>
          <w:sz w:val="22"/>
        </w:rPr>
        <w:t>To provide exposure to students on the latest hardware and software tools.</w:t>
      </w:r>
    </w:p>
    <w:p>
      <w:pPr>
        <w:pStyle w:val="ListBullet"/>
        <w:spacing w:after="60"/>
      </w:pPr>
      <w:r>
        <w:rPr>
          <w:rFonts w:ascii="Arial" w:hAnsi="Arial"/>
          <w:sz w:val="22"/>
        </w:rPr>
        <w:t>To promote research-based projects and activities in the emerging areas of technology convergence.</w:t>
      </w:r>
    </w:p>
    <w:p>
      <w:pPr>
        <w:pStyle w:val="ListBullet"/>
        <w:spacing w:after="60"/>
      </w:pPr>
      <w:r>
        <w:rPr>
          <w:rFonts w:ascii="Arial" w:hAnsi="Arial"/>
          <w:sz w:val="22"/>
        </w:rPr>
        <w:t>To encourage and enable students not merely to seek jobs but also to create new enterprises.</w:t>
      </w:r>
    </w:p>
    <w:p>
      <w:pPr>
        <w:pStyle w:val="ListBullet"/>
        <w:spacing w:after="60"/>
      </w:pPr>
      <w:r>
        <w:rPr>
          <w:rFonts w:ascii="Arial" w:hAnsi="Arial"/>
          <w:sz w:val="22"/>
        </w:rPr>
        <w:t>To induce a spirit of nationalism that enables students to understand India’s challenges and develop effective solutions.</w:t>
      </w:r>
    </w:p>
    <w:p>
      <w:pPr>
        <w:pStyle w:val="ListBullet"/>
        <w:spacing w:after="60"/>
      </w:pPr>
      <w:r>
        <w:rPr>
          <w:rFonts w:ascii="Arial" w:hAnsi="Arial"/>
          <w:sz w:val="22"/>
        </w:rPr>
        <w:t>To support the faculty to accelerate their learning curve and deliver excellent service to students.</w:t>
      </w:r>
    </w:p>
    <w:p>
      <w:r>
        <w:br w:type="page"/>
      </w:r>
    </w:p>
    <w:p>
      <w:pPr>
        <w:pStyle w:val="Heading1"/>
      </w:pPr>
      <w:r>
        <w:rPr>
          <w:rFonts w:ascii="Arial" w:hAnsi="Arial"/>
          <w:b/>
          <w:color w:val="1F4E79"/>
          <w:sz w:val="30"/>
        </w:rPr>
        <w:t>PROGRAM OUTCOMES (POs)</w:t>
      </w:r>
    </w:p>
    <w:p>
      <w:pPr>
        <w:spacing w:after="80"/>
      </w:pPr>
      <w:r>
        <w:rPr>
          <w:rFonts w:ascii="Arial" w:hAnsi="Arial"/>
          <w:b/>
          <w:color w:val="1F4E79"/>
          <w:sz w:val="21"/>
        </w:rPr>
        <w:t xml:space="preserve">PO1  Engineering Knowledge: </w:t>
      </w:r>
      <w:r>
        <w:rPr>
          <w:rFonts w:ascii="Arial" w:hAnsi="Arial"/>
          <w:sz w:val="21"/>
        </w:rPr>
        <w:t>Apply knowledge of mathematics, science, engineering fundamentals and a specialization to solve complex engineering problems.</w:t>
      </w:r>
    </w:p>
    <w:p>
      <w:pPr>
        <w:spacing w:after="80"/>
      </w:pPr>
      <w:r>
        <w:rPr>
          <w:rFonts w:ascii="Arial" w:hAnsi="Arial"/>
          <w:b/>
          <w:color w:val="1F4E79"/>
          <w:sz w:val="21"/>
        </w:rPr>
        <w:t xml:space="preserve">PO2  Problem Analysis: </w:t>
      </w:r>
      <w:r>
        <w:rPr>
          <w:rFonts w:ascii="Arial" w:hAnsi="Arial"/>
          <w:sz w:val="21"/>
        </w:rPr>
        <w:t>Identify, formulate, review literature and analyze complex problems reaching substantiated conclusions using first principles.</w:t>
      </w:r>
    </w:p>
    <w:p>
      <w:pPr>
        <w:spacing w:after="80"/>
      </w:pPr>
      <w:r>
        <w:rPr>
          <w:rFonts w:ascii="Arial" w:hAnsi="Arial"/>
          <w:b/>
          <w:color w:val="1F4E79"/>
          <w:sz w:val="21"/>
        </w:rPr>
        <w:t xml:space="preserve">PO3  Design/Development of Solutions: </w:t>
      </w:r>
      <w:r>
        <w:rPr>
          <w:rFonts w:ascii="Arial" w:hAnsi="Arial"/>
          <w:sz w:val="21"/>
        </w:rPr>
        <w:t>Design solutions and system components/processes that meet specified needs with appropriate consideration for public health, safety and societal/environmental factors.</w:t>
      </w:r>
    </w:p>
    <w:p>
      <w:pPr>
        <w:spacing w:after="80"/>
      </w:pPr>
      <w:r>
        <w:rPr>
          <w:rFonts w:ascii="Arial" w:hAnsi="Arial"/>
          <w:b/>
          <w:color w:val="1F4E79"/>
          <w:sz w:val="21"/>
        </w:rPr>
        <w:t xml:space="preserve">PO4  Investigation of Complex Problems: </w:t>
      </w:r>
      <w:r>
        <w:rPr>
          <w:rFonts w:ascii="Arial" w:hAnsi="Arial"/>
          <w:sz w:val="21"/>
        </w:rPr>
        <w:t>Use research-based knowledge and methods including design of experiments, analysis and interpretation of data to provide valid conclusions.</w:t>
      </w:r>
    </w:p>
    <w:p>
      <w:pPr>
        <w:spacing w:after="80"/>
      </w:pPr>
      <w:r>
        <w:rPr>
          <w:rFonts w:ascii="Arial" w:hAnsi="Arial"/>
          <w:b/>
          <w:color w:val="1F4E79"/>
          <w:sz w:val="21"/>
        </w:rPr>
        <w:t xml:space="preserve">PO5  Modern Tool Usage: </w:t>
      </w:r>
      <w:r>
        <w:rPr>
          <w:rFonts w:ascii="Arial" w:hAnsi="Arial"/>
          <w:sz w:val="21"/>
        </w:rPr>
        <w:t>Create, select and apply appropriate techniques, resources and modern engineering/IT tools including prediction and modeling, with an understanding of limitations.</w:t>
      </w:r>
    </w:p>
    <w:p>
      <w:pPr>
        <w:spacing w:after="80"/>
      </w:pPr>
      <w:r>
        <w:rPr>
          <w:rFonts w:ascii="Arial" w:hAnsi="Arial"/>
          <w:b/>
          <w:color w:val="1F4E79"/>
          <w:sz w:val="21"/>
        </w:rPr>
        <w:t xml:space="preserve">PO6  The Engineer and Society: </w:t>
      </w:r>
      <w:r>
        <w:rPr>
          <w:rFonts w:ascii="Arial" w:hAnsi="Arial"/>
          <w:sz w:val="21"/>
        </w:rPr>
        <w:t>Apply reasoning informed by contextual knowledge to assess societal, health, safety, legal and cultural issues relevant to professional practice.</w:t>
      </w:r>
    </w:p>
    <w:p>
      <w:pPr>
        <w:spacing w:after="80"/>
      </w:pPr>
      <w:r>
        <w:rPr>
          <w:rFonts w:ascii="Arial" w:hAnsi="Arial"/>
          <w:b/>
          <w:color w:val="1F4E79"/>
          <w:sz w:val="21"/>
        </w:rPr>
        <w:t xml:space="preserve">PO7  Environment and Sustainability: </w:t>
      </w:r>
      <w:r>
        <w:rPr>
          <w:rFonts w:ascii="Arial" w:hAnsi="Arial"/>
          <w:sz w:val="21"/>
        </w:rPr>
        <w:t>Understand the impact of professional engineering solutions in societal and environmental contexts and demonstrate knowledge of sustainable development.</w:t>
      </w:r>
    </w:p>
    <w:p>
      <w:pPr>
        <w:spacing w:after="80"/>
      </w:pPr>
      <w:r>
        <w:rPr>
          <w:rFonts w:ascii="Arial" w:hAnsi="Arial"/>
          <w:b/>
          <w:color w:val="1F4E79"/>
          <w:sz w:val="21"/>
        </w:rPr>
        <w:t xml:space="preserve">PO8  Ethics: </w:t>
      </w:r>
      <w:r>
        <w:rPr>
          <w:rFonts w:ascii="Arial" w:hAnsi="Arial"/>
          <w:sz w:val="21"/>
        </w:rPr>
        <w:t>Apply ethical principles and commit to professional ethics, responsibilities and norms of engineering practice.</w:t>
      </w:r>
    </w:p>
    <w:p>
      <w:pPr>
        <w:spacing w:after="80"/>
      </w:pPr>
      <w:r>
        <w:rPr>
          <w:rFonts w:ascii="Arial" w:hAnsi="Arial"/>
          <w:b/>
          <w:color w:val="1F4E79"/>
          <w:sz w:val="21"/>
        </w:rPr>
        <w:t xml:space="preserve">PO9  Individual and Team Work: </w:t>
      </w:r>
      <w:r>
        <w:rPr>
          <w:rFonts w:ascii="Arial" w:hAnsi="Arial"/>
          <w:sz w:val="21"/>
        </w:rPr>
        <w:t>Function effectively as an individual and as a member or leader in diverse, multidisciplinary teams.</w:t>
      </w:r>
    </w:p>
    <w:p>
      <w:pPr>
        <w:spacing w:after="80"/>
      </w:pPr>
      <w:r>
        <w:rPr>
          <w:rFonts w:ascii="Arial" w:hAnsi="Arial"/>
          <w:b/>
          <w:color w:val="1F4E79"/>
          <w:sz w:val="21"/>
        </w:rPr>
        <w:t xml:space="preserve">PO10  Communication: </w:t>
      </w:r>
      <w:r>
        <w:rPr>
          <w:rFonts w:ascii="Arial" w:hAnsi="Arial"/>
          <w:sz w:val="21"/>
        </w:rPr>
        <w:t>Communicate effectively — comprehend and write effective reports and documentation, make effective presentations and give/receive clear instructions.</w:t>
      </w:r>
    </w:p>
    <w:p>
      <w:pPr>
        <w:spacing w:after="80"/>
      </w:pPr>
      <w:r>
        <w:rPr>
          <w:rFonts w:ascii="Arial" w:hAnsi="Arial"/>
          <w:b/>
          <w:color w:val="1F4E79"/>
          <w:sz w:val="21"/>
        </w:rPr>
        <w:t xml:space="preserve">PO11  Project Management and Finance: </w:t>
      </w:r>
      <w:r>
        <w:rPr>
          <w:rFonts w:ascii="Arial" w:hAnsi="Arial"/>
          <w:sz w:val="21"/>
        </w:rPr>
        <w:t>Demonstrate knowledge of engineering and management principles and apply them to manage projects in multidisciplinary environments.</w:t>
      </w:r>
    </w:p>
    <w:p>
      <w:pPr>
        <w:spacing w:after="80"/>
      </w:pPr>
      <w:r>
        <w:rPr>
          <w:rFonts w:ascii="Arial" w:hAnsi="Arial"/>
          <w:b/>
          <w:color w:val="1F4E79"/>
          <w:sz w:val="21"/>
        </w:rPr>
        <w:t xml:space="preserve">PO12  Life-Long Learning: </w:t>
      </w:r>
      <w:r>
        <w:rPr>
          <w:rFonts w:ascii="Arial" w:hAnsi="Arial"/>
          <w:sz w:val="21"/>
        </w:rPr>
        <w:t>Recognize the need for, and have the ability to engage in, independent and life-long learning in the broadest context of technological change.</w:t>
      </w:r>
    </w:p>
    <w:p>
      <w:r>
        <w:br w:type="page"/>
      </w:r>
    </w:p>
    <w:p>
      <w:pPr>
        <w:pStyle w:val="Heading1"/>
      </w:pPr>
      <w:r>
        <w:rPr>
          <w:rFonts w:ascii="Arial" w:hAnsi="Arial"/>
          <w:b/>
          <w:color w:val="1F4E79"/>
          <w:sz w:val="30"/>
        </w:rPr>
        <w:t>PROJECT OUTCOMES (POs of this Project)</w:t>
      </w:r>
    </w:p>
    <w:p>
      <w:pPr>
        <w:spacing w:after="100"/>
      </w:pPr>
      <w:r>
        <w:rPr>
          <w:rFonts w:ascii="Arial" w:hAnsi="Arial"/>
          <w:b/>
          <w:color w:val="1F4E79"/>
          <w:sz w:val="22"/>
        </w:rPr>
        <w:t xml:space="preserve">P1:  </w:t>
      </w:r>
      <w:r>
        <w:rPr>
          <w:rFonts w:ascii="Arial" w:hAnsi="Arial"/>
          <w:sz w:val="22"/>
        </w:rPr>
        <w:t>Build a leakage-free engagement classifier (Swin-Tiny + Temporal Transformer) that generalises to unseen classrooms, achieving a held-out test macro-F1 of 0.73.</w:t>
      </w:r>
    </w:p>
    <w:p>
      <w:pPr>
        <w:spacing w:after="100"/>
      </w:pPr>
      <w:r>
        <w:rPr>
          <w:rFonts w:ascii="Arial" w:hAnsi="Arial"/>
          <w:b/>
          <w:color w:val="1F4E79"/>
          <w:sz w:val="22"/>
        </w:rPr>
        <w:t xml:space="preserve">P2:  </w:t>
      </w:r>
      <w:r>
        <w:rPr>
          <w:rFonts w:ascii="Arial" w:hAnsi="Arial"/>
          <w:sz w:val="22"/>
        </w:rPr>
        <w:t>Correctly separate engagement from collaboration and build a session-level collaboration model (LOVO macro-F1 0.667, rising to 0.764 with gaze cues).</w:t>
      </w:r>
    </w:p>
    <w:p>
      <w:pPr>
        <w:spacing w:after="100"/>
      </w:pPr>
      <w:r>
        <w:rPr>
          <w:rFonts w:ascii="Arial" w:hAnsi="Arial"/>
          <w:b/>
          <w:color w:val="1F4E79"/>
          <w:sz w:val="22"/>
        </w:rPr>
        <w:t xml:space="preserve">P3:  </w:t>
      </w:r>
      <w:r>
        <w:rPr>
          <w:rFonts w:ascii="Arial" w:hAnsi="Arial"/>
          <w:sz w:val="22"/>
        </w:rPr>
        <w:t>Establish an honest evaluation methodology — disjoint splits, Leave-One-Video-Out, label-shuffle floors and confound checks — and report realistic, defensible metrics.</w:t>
      </w:r>
    </w:p>
    <w:p>
      <w:pPr>
        <w:spacing w:after="100"/>
      </w:pPr>
      <w:r>
        <w:rPr>
          <w:rFonts w:ascii="Arial" w:hAnsi="Arial"/>
          <w:b/>
          <w:color w:val="1F4E79"/>
          <w:sz w:val="22"/>
        </w:rPr>
        <w:t xml:space="preserve">P4:  </w:t>
      </w:r>
      <w:r>
        <w:rPr>
          <w:rFonts w:ascii="Arial" w:hAnsi="Arial"/>
          <w:sz w:val="22"/>
        </w:rPr>
        <w:t>Deploy the trained models in EduLens, a real-time, privacy-preserving web application with live monitoring, analytics, alerts, an AI copilot and PDF reporting.</w:t>
      </w:r>
    </w:p>
    <w:p>
      <w:pPr>
        <w:spacing w:after="100"/>
      </w:pPr>
      <w:r>
        <w:rPr>
          <w:rFonts w:ascii="Arial" w:hAnsi="Arial"/>
          <w:b/>
          <w:color w:val="1F4E79"/>
          <w:sz w:val="22"/>
        </w:rPr>
        <w:t xml:space="preserve">P5:  </w:t>
      </w:r>
      <w:r>
        <w:rPr>
          <w:rFonts w:ascii="Arial" w:hAnsi="Arial"/>
          <w:sz w:val="22"/>
        </w:rPr>
        <w:t>Deliver reproducible, modular, production-quality code and complete project documentation.</w:t>
      </w:r>
    </w:p>
    <w:p>
      <w:pPr>
        <w:pStyle w:val="Heading2"/>
      </w:pPr>
      <w:r>
        <w:rPr>
          <w:rFonts w:ascii="Arial" w:hAnsi="Arial"/>
          <w:b/>
          <w:color w:val="1F4E79"/>
          <w:sz w:val="25"/>
        </w:rPr>
        <w:t>Mapping of Project Outcomes with Program Outcomes</w:t>
      </w:r>
    </w:p>
    <w:p>
      <w:pPr>
        <w:spacing w:after="80"/>
        <w:jc w:val="center"/>
      </w:pPr>
      <w:r>
        <w:rPr>
          <w:rFonts w:ascii="Arial" w:hAnsi="Arial"/>
          <w:b w:val="0"/>
          <w:i w:val="0"/>
          <w:color w:val="555555"/>
          <w:sz w:val="19"/>
        </w:rPr>
        <w:t>L – Low      M – Medium      H – High</w:t>
      </w:r>
    </w:p>
    <w:tbl>
      <w:tblPr>
        <w:tblStyle w:val="TableGrid"/>
        <w:tblW w:type="auto" w:w="0"/>
        <w:jc w:val="center"/>
        <w:tblLayout w:type="fixed"/>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92"/>
            <w:shd w:val="clear" w:fill="1F4E79"/>
          </w:tcPr>
          <w:p>
            <w:r/>
            <w:r>
              <w:rPr>
                <w:rFonts w:ascii="Arial" w:hAnsi="Arial"/>
                <w:b/>
                <w:color w:val="FFFFFF"/>
                <w:sz w:val="16"/>
              </w:rPr>
              <w:t>PO →</w:t>
            </w:r>
          </w:p>
        </w:tc>
        <w:tc>
          <w:tcPr>
            <w:tcW w:type="dxa" w:w="706"/>
            <w:shd w:val="clear" w:fill="1F4E79"/>
          </w:tcPr>
          <w:p>
            <w:r/>
            <w:r>
              <w:rPr>
                <w:rFonts w:ascii="Arial" w:hAnsi="Arial"/>
                <w:b/>
                <w:color w:val="FFFFFF"/>
                <w:sz w:val="16"/>
              </w:rPr>
              <w:t>PO1</w:t>
            </w:r>
          </w:p>
        </w:tc>
        <w:tc>
          <w:tcPr>
            <w:tcW w:type="dxa" w:w="706"/>
            <w:shd w:val="clear" w:fill="1F4E79"/>
          </w:tcPr>
          <w:p>
            <w:r/>
            <w:r>
              <w:rPr>
                <w:rFonts w:ascii="Arial" w:hAnsi="Arial"/>
                <w:b/>
                <w:color w:val="FFFFFF"/>
                <w:sz w:val="16"/>
              </w:rPr>
              <w:t>PO2</w:t>
            </w:r>
          </w:p>
        </w:tc>
        <w:tc>
          <w:tcPr>
            <w:tcW w:type="dxa" w:w="706"/>
            <w:shd w:val="clear" w:fill="1F4E79"/>
          </w:tcPr>
          <w:p>
            <w:r/>
            <w:r>
              <w:rPr>
                <w:rFonts w:ascii="Arial" w:hAnsi="Arial"/>
                <w:b/>
                <w:color w:val="FFFFFF"/>
                <w:sz w:val="16"/>
              </w:rPr>
              <w:t>PO3</w:t>
            </w:r>
          </w:p>
        </w:tc>
        <w:tc>
          <w:tcPr>
            <w:tcW w:type="dxa" w:w="706"/>
            <w:shd w:val="clear" w:fill="1F4E79"/>
          </w:tcPr>
          <w:p>
            <w:r/>
            <w:r>
              <w:rPr>
                <w:rFonts w:ascii="Arial" w:hAnsi="Arial"/>
                <w:b/>
                <w:color w:val="FFFFFF"/>
                <w:sz w:val="16"/>
              </w:rPr>
              <w:t>PO4</w:t>
            </w:r>
          </w:p>
        </w:tc>
        <w:tc>
          <w:tcPr>
            <w:tcW w:type="dxa" w:w="706"/>
            <w:shd w:val="clear" w:fill="1F4E79"/>
          </w:tcPr>
          <w:p>
            <w:r/>
            <w:r>
              <w:rPr>
                <w:rFonts w:ascii="Arial" w:hAnsi="Arial"/>
                <w:b/>
                <w:color w:val="FFFFFF"/>
                <w:sz w:val="16"/>
              </w:rPr>
              <w:t>PO5</w:t>
            </w:r>
          </w:p>
        </w:tc>
        <w:tc>
          <w:tcPr>
            <w:tcW w:type="dxa" w:w="706"/>
            <w:shd w:val="clear" w:fill="1F4E79"/>
          </w:tcPr>
          <w:p>
            <w:r/>
            <w:r>
              <w:rPr>
                <w:rFonts w:ascii="Arial" w:hAnsi="Arial"/>
                <w:b/>
                <w:color w:val="FFFFFF"/>
                <w:sz w:val="16"/>
              </w:rPr>
              <w:t>PO6</w:t>
            </w:r>
          </w:p>
        </w:tc>
        <w:tc>
          <w:tcPr>
            <w:tcW w:type="dxa" w:w="706"/>
            <w:shd w:val="clear" w:fill="1F4E79"/>
          </w:tcPr>
          <w:p>
            <w:r/>
            <w:r>
              <w:rPr>
                <w:rFonts w:ascii="Arial" w:hAnsi="Arial"/>
                <w:b/>
                <w:color w:val="FFFFFF"/>
                <w:sz w:val="16"/>
              </w:rPr>
              <w:t>PO7</w:t>
            </w:r>
          </w:p>
        </w:tc>
        <w:tc>
          <w:tcPr>
            <w:tcW w:type="dxa" w:w="706"/>
            <w:shd w:val="clear" w:fill="1F4E79"/>
          </w:tcPr>
          <w:p>
            <w:r/>
            <w:r>
              <w:rPr>
                <w:rFonts w:ascii="Arial" w:hAnsi="Arial"/>
                <w:b/>
                <w:color w:val="FFFFFF"/>
                <w:sz w:val="16"/>
              </w:rPr>
              <w:t>PO8</w:t>
            </w:r>
          </w:p>
        </w:tc>
        <w:tc>
          <w:tcPr>
            <w:tcW w:type="dxa" w:w="706"/>
            <w:shd w:val="clear" w:fill="1F4E79"/>
          </w:tcPr>
          <w:p>
            <w:r/>
            <w:r>
              <w:rPr>
                <w:rFonts w:ascii="Arial" w:hAnsi="Arial"/>
                <w:b/>
                <w:color w:val="FFFFFF"/>
                <w:sz w:val="16"/>
              </w:rPr>
              <w:t>PO9</w:t>
            </w:r>
          </w:p>
        </w:tc>
        <w:tc>
          <w:tcPr>
            <w:tcW w:type="dxa" w:w="706"/>
            <w:shd w:val="clear" w:fill="1F4E79"/>
          </w:tcPr>
          <w:p>
            <w:r/>
            <w:r>
              <w:rPr>
                <w:rFonts w:ascii="Arial" w:hAnsi="Arial"/>
                <w:b/>
                <w:color w:val="FFFFFF"/>
                <w:sz w:val="16"/>
              </w:rPr>
              <w:t>PO10</w:t>
            </w:r>
          </w:p>
        </w:tc>
        <w:tc>
          <w:tcPr>
            <w:tcW w:type="dxa" w:w="706"/>
            <w:shd w:val="clear" w:fill="1F4E79"/>
          </w:tcPr>
          <w:p>
            <w:r/>
            <w:r>
              <w:rPr>
                <w:rFonts w:ascii="Arial" w:hAnsi="Arial"/>
                <w:b/>
                <w:color w:val="FFFFFF"/>
                <w:sz w:val="16"/>
              </w:rPr>
              <w:t>PO11</w:t>
            </w:r>
          </w:p>
        </w:tc>
        <w:tc>
          <w:tcPr>
            <w:tcW w:type="dxa" w:w="706"/>
            <w:shd w:val="clear" w:fill="1F4E79"/>
          </w:tcPr>
          <w:p>
            <w:r/>
            <w:r>
              <w:rPr>
                <w:rFonts w:ascii="Arial" w:hAnsi="Arial"/>
                <w:b/>
                <w:color w:val="FFFFFF"/>
                <w:sz w:val="16"/>
              </w:rPr>
              <w:t>PO12</w:t>
            </w:r>
          </w:p>
        </w:tc>
      </w:tr>
      <w:tr>
        <w:tc>
          <w:tcPr>
            <w:tcW w:type="dxa" w:w="792"/>
          </w:tcPr>
          <w:p>
            <w:r/>
            <w:r>
              <w:rPr>
                <w:rFonts w:ascii="Arial" w:hAnsi="Arial"/>
                <w:sz w:val="16"/>
              </w:rPr>
              <w:t>P1</w:t>
            </w:r>
          </w:p>
        </w:tc>
        <w:tc>
          <w:tcPr>
            <w:tcW w:type="dxa" w:w="706"/>
          </w:tcPr>
          <w:p>
            <w:r/>
            <w:r>
              <w:rPr>
                <w:rFonts w:ascii="Arial" w:hAnsi="Arial"/>
                <w:sz w:val="16"/>
              </w:rPr>
              <w:t>H</w:t>
            </w:r>
          </w:p>
        </w:tc>
        <w:tc>
          <w:tcPr>
            <w:tcW w:type="dxa" w:w="706"/>
          </w:tcPr>
          <w:p>
            <w:r/>
            <w:r>
              <w:rPr>
                <w:rFonts w:ascii="Arial" w:hAnsi="Arial"/>
                <w:sz w:val="16"/>
              </w:rPr>
              <w:t>H</w:t>
            </w:r>
          </w:p>
        </w:tc>
        <w:tc>
          <w:tcPr>
            <w:tcW w:type="dxa" w:w="706"/>
          </w:tcPr>
          <w:p>
            <w:r/>
            <w:r>
              <w:rPr>
                <w:rFonts w:ascii="Arial" w:hAnsi="Arial"/>
                <w:sz w:val="16"/>
              </w:rPr>
              <w:t>H</w:t>
            </w:r>
          </w:p>
        </w:tc>
        <w:tc>
          <w:tcPr>
            <w:tcW w:type="dxa" w:w="706"/>
          </w:tcPr>
          <w:p>
            <w:r/>
            <w:r>
              <w:rPr>
                <w:rFonts w:ascii="Arial" w:hAnsi="Arial"/>
                <w:sz w:val="16"/>
              </w:rPr>
              <w:t>H</w:t>
            </w:r>
          </w:p>
        </w:tc>
        <w:tc>
          <w:tcPr>
            <w:tcW w:type="dxa" w:w="706"/>
          </w:tcPr>
          <w:p>
            <w:r/>
            <w:r>
              <w:rPr>
                <w:rFonts w:ascii="Arial" w:hAnsi="Arial"/>
                <w:sz w:val="16"/>
              </w:rPr>
              <w:t>H</w:t>
            </w:r>
          </w:p>
        </w:tc>
        <w:tc>
          <w:tcPr>
            <w:tcW w:type="dxa" w:w="706"/>
          </w:tcPr>
          <w:p>
            <w:r/>
            <w:r>
              <w:rPr>
                <w:rFonts w:ascii="Arial" w:hAnsi="Arial"/>
                <w:sz w:val="16"/>
              </w:rPr>
              <w:t>M</w:t>
            </w:r>
          </w:p>
        </w:tc>
        <w:tc>
          <w:tcPr>
            <w:tcW w:type="dxa" w:w="706"/>
          </w:tcPr>
          <w:p>
            <w:r/>
            <w:r>
              <w:rPr>
                <w:rFonts w:ascii="Arial" w:hAnsi="Arial"/>
                <w:sz w:val="16"/>
              </w:rPr>
              <w:t>L</w:t>
            </w:r>
          </w:p>
        </w:tc>
        <w:tc>
          <w:tcPr>
            <w:tcW w:type="dxa" w:w="706"/>
          </w:tcPr>
          <w:p>
            <w:r/>
            <w:r>
              <w:rPr>
                <w:rFonts w:ascii="Arial" w:hAnsi="Arial"/>
                <w:sz w:val="16"/>
              </w:rPr>
              <w:t>M</w:t>
            </w:r>
          </w:p>
        </w:tc>
        <w:tc>
          <w:tcPr>
            <w:tcW w:type="dxa" w:w="706"/>
          </w:tcPr>
          <w:p>
            <w:r/>
            <w:r>
              <w:rPr>
                <w:rFonts w:ascii="Arial" w:hAnsi="Arial"/>
                <w:sz w:val="16"/>
              </w:rPr>
              <w:t>M</w:t>
            </w:r>
          </w:p>
        </w:tc>
        <w:tc>
          <w:tcPr>
            <w:tcW w:type="dxa" w:w="706"/>
          </w:tcPr>
          <w:p>
            <w:r/>
            <w:r>
              <w:rPr>
                <w:rFonts w:ascii="Arial" w:hAnsi="Arial"/>
                <w:sz w:val="16"/>
              </w:rPr>
              <w:t>M</w:t>
            </w:r>
          </w:p>
        </w:tc>
        <w:tc>
          <w:tcPr>
            <w:tcW w:type="dxa" w:w="706"/>
          </w:tcPr>
          <w:p>
            <w:r/>
            <w:r>
              <w:rPr>
                <w:rFonts w:ascii="Arial" w:hAnsi="Arial"/>
                <w:sz w:val="16"/>
              </w:rPr>
              <w:t>M</w:t>
            </w:r>
          </w:p>
        </w:tc>
        <w:tc>
          <w:tcPr>
            <w:tcW w:type="dxa" w:w="706"/>
          </w:tcPr>
          <w:p>
            <w:r/>
            <w:r>
              <w:rPr>
                <w:rFonts w:ascii="Arial" w:hAnsi="Arial"/>
                <w:sz w:val="16"/>
              </w:rPr>
              <w:t>H</w:t>
            </w:r>
          </w:p>
        </w:tc>
      </w:tr>
      <w:tr>
        <w:tc>
          <w:tcPr>
            <w:tcW w:type="dxa" w:w="792"/>
            <w:shd w:val="clear" w:fill="EAF0F7"/>
          </w:tcPr>
          <w:p>
            <w:r/>
            <w:r>
              <w:rPr>
                <w:rFonts w:ascii="Arial" w:hAnsi="Arial"/>
                <w:sz w:val="16"/>
              </w:rPr>
              <w:t>P2</w:t>
            </w:r>
          </w:p>
        </w:tc>
        <w:tc>
          <w:tcPr>
            <w:tcW w:type="dxa" w:w="706"/>
            <w:shd w:val="clear" w:fill="EAF0F7"/>
          </w:tcPr>
          <w:p>
            <w:r/>
            <w:r>
              <w:rPr>
                <w:rFonts w:ascii="Arial" w:hAnsi="Arial"/>
                <w:sz w:val="16"/>
              </w:rPr>
              <w:t>H</w:t>
            </w:r>
          </w:p>
        </w:tc>
        <w:tc>
          <w:tcPr>
            <w:tcW w:type="dxa" w:w="706"/>
            <w:shd w:val="clear" w:fill="EAF0F7"/>
          </w:tcPr>
          <w:p>
            <w:r/>
            <w:r>
              <w:rPr>
                <w:rFonts w:ascii="Arial" w:hAnsi="Arial"/>
                <w:sz w:val="16"/>
              </w:rPr>
              <w:t>H</w:t>
            </w:r>
          </w:p>
        </w:tc>
        <w:tc>
          <w:tcPr>
            <w:tcW w:type="dxa" w:w="706"/>
            <w:shd w:val="clear" w:fill="EAF0F7"/>
          </w:tcPr>
          <w:p>
            <w:r/>
            <w:r>
              <w:rPr>
                <w:rFonts w:ascii="Arial" w:hAnsi="Arial"/>
                <w:sz w:val="16"/>
              </w:rPr>
              <w:t>H</w:t>
            </w:r>
          </w:p>
        </w:tc>
        <w:tc>
          <w:tcPr>
            <w:tcW w:type="dxa" w:w="706"/>
            <w:shd w:val="clear" w:fill="EAF0F7"/>
          </w:tcPr>
          <w:p>
            <w:r/>
            <w:r>
              <w:rPr>
                <w:rFonts w:ascii="Arial" w:hAnsi="Arial"/>
                <w:sz w:val="16"/>
              </w:rPr>
              <w:t>H</w:t>
            </w:r>
          </w:p>
        </w:tc>
        <w:tc>
          <w:tcPr>
            <w:tcW w:type="dxa" w:w="706"/>
            <w:shd w:val="clear" w:fill="EAF0F7"/>
          </w:tcPr>
          <w:p>
            <w:r/>
            <w:r>
              <w:rPr>
                <w:rFonts w:ascii="Arial" w:hAnsi="Arial"/>
                <w:sz w:val="16"/>
              </w:rPr>
              <w:t>H</w:t>
            </w:r>
          </w:p>
        </w:tc>
        <w:tc>
          <w:tcPr>
            <w:tcW w:type="dxa" w:w="706"/>
            <w:shd w:val="clear" w:fill="EAF0F7"/>
          </w:tcPr>
          <w:p>
            <w:r/>
            <w:r>
              <w:rPr>
                <w:rFonts w:ascii="Arial" w:hAnsi="Arial"/>
                <w:sz w:val="16"/>
              </w:rPr>
              <w:t>M</w:t>
            </w:r>
          </w:p>
        </w:tc>
        <w:tc>
          <w:tcPr>
            <w:tcW w:type="dxa" w:w="706"/>
            <w:shd w:val="clear" w:fill="EAF0F7"/>
          </w:tcPr>
          <w:p>
            <w:r/>
            <w:r>
              <w:rPr>
                <w:rFonts w:ascii="Arial" w:hAnsi="Arial"/>
                <w:sz w:val="16"/>
              </w:rPr>
              <w:t>L</w:t>
            </w:r>
          </w:p>
        </w:tc>
        <w:tc>
          <w:tcPr>
            <w:tcW w:type="dxa" w:w="706"/>
            <w:shd w:val="clear" w:fill="EAF0F7"/>
          </w:tcPr>
          <w:p>
            <w:r/>
            <w:r>
              <w:rPr>
                <w:rFonts w:ascii="Arial" w:hAnsi="Arial"/>
                <w:sz w:val="16"/>
              </w:rPr>
              <w:t>H</w:t>
            </w:r>
          </w:p>
        </w:tc>
        <w:tc>
          <w:tcPr>
            <w:tcW w:type="dxa" w:w="706"/>
            <w:shd w:val="clear" w:fill="EAF0F7"/>
          </w:tcPr>
          <w:p>
            <w:r/>
            <w:r>
              <w:rPr>
                <w:rFonts w:ascii="Arial" w:hAnsi="Arial"/>
                <w:sz w:val="16"/>
              </w:rPr>
              <w:t>M</w:t>
            </w:r>
          </w:p>
        </w:tc>
        <w:tc>
          <w:tcPr>
            <w:tcW w:type="dxa" w:w="706"/>
            <w:shd w:val="clear" w:fill="EAF0F7"/>
          </w:tcPr>
          <w:p>
            <w:r/>
            <w:r>
              <w:rPr>
                <w:rFonts w:ascii="Arial" w:hAnsi="Arial"/>
                <w:sz w:val="16"/>
              </w:rPr>
              <w:t>M</w:t>
            </w:r>
          </w:p>
        </w:tc>
        <w:tc>
          <w:tcPr>
            <w:tcW w:type="dxa" w:w="706"/>
            <w:shd w:val="clear" w:fill="EAF0F7"/>
          </w:tcPr>
          <w:p>
            <w:r/>
            <w:r>
              <w:rPr>
                <w:rFonts w:ascii="Arial" w:hAnsi="Arial"/>
                <w:sz w:val="16"/>
              </w:rPr>
              <w:t>M</w:t>
            </w:r>
          </w:p>
        </w:tc>
        <w:tc>
          <w:tcPr>
            <w:tcW w:type="dxa" w:w="706"/>
            <w:shd w:val="clear" w:fill="EAF0F7"/>
          </w:tcPr>
          <w:p>
            <w:r/>
            <w:r>
              <w:rPr>
                <w:rFonts w:ascii="Arial" w:hAnsi="Arial"/>
                <w:sz w:val="16"/>
              </w:rPr>
              <w:t>H</w:t>
            </w:r>
          </w:p>
        </w:tc>
      </w:tr>
      <w:tr>
        <w:tc>
          <w:tcPr>
            <w:tcW w:type="dxa" w:w="792"/>
          </w:tcPr>
          <w:p>
            <w:r/>
            <w:r>
              <w:rPr>
                <w:rFonts w:ascii="Arial" w:hAnsi="Arial"/>
                <w:sz w:val="16"/>
              </w:rPr>
              <w:t>P3</w:t>
            </w:r>
          </w:p>
        </w:tc>
        <w:tc>
          <w:tcPr>
            <w:tcW w:type="dxa" w:w="706"/>
          </w:tcPr>
          <w:p>
            <w:r/>
            <w:r>
              <w:rPr>
                <w:rFonts w:ascii="Arial" w:hAnsi="Arial"/>
                <w:sz w:val="16"/>
              </w:rPr>
              <w:t>M</w:t>
            </w:r>
          </w:p>
        </w:tc>
        <w:tc>
          <w:tcPr>
            <w:tcW w:type="dxa" w:w="706"/>
          </w:tcPr>
          <w:p>
            <w:r/>
            <w:r>
              <w:rPr>
                <w:rFonts w:ascii="Arial" w:hAnsi="Arial"/>
                <w:sz w:val="16"/>
              </w:rPr>
              <w:t>H</w:t>
            </w:r>
          </w:p>
        </w:tc>
        <w:tc>
          <w:tcPr>
            <w:tcW w:type="dxa" w:w="706"/>
          </w:tcPr>
          <w:p>
            <w:r/>
            <w:r>
              <w:rPr>
                <w:rFonts w:ascii="Arial" w:hAnsi="Arial"/>
                <w:sz w:val="16"/>
              </w:rPr>
              <w:t>M</w:t>
            </w:r>
          </w:p>
        </w:tc>
        <w:tc>
          <w:tcPr>
            <w:tcW w:type="dxa" w:w="706"/>
          </w:tcPr>
          <w:p>
            <w:r/>
            <w:r>
              <w:rPr>
                <w:rFonts w:ascii="Arial" w:hAnsi="Arial"/>
                <w:sz w:val="16"/>
              </w:rPr>
              <w:t>H</w:t>
            </w:r>
          </w:p>
        </w:tc>
        <w:tc>
          <w:tcPr>
            <w:tcW w:type="dxa" w:w="706"/>
          </w:tcPr>
          <w:p>
            <w:r/>
            <w:r>
              <w:rPr>
                <w:rFonts w:ascii="Arial" w:hAnsi="Arial"/>
                <w:sz w:val="16"/>
              </w:rPr>
              <w:t>M</w:t>
            </w:r>
          </w:p>
        </w:tc>
        <w:tc>
          <w:tcPr>
            <w:tcW w:type="dxa" w:w="706"/>
          </w:tcPr>
          <w:p>
            <w:r/>
            <w:r>
              <w:rPr>
                <w:rFonts w:ascii="Arial" w:hAnsi="Arial"/>
                <w:sz w:val="16"/>
              </w:rPr>
              <w:t>M</w:t>
            </w:r>
          </w:p>
        </w:tc>
        <w:tc>
          <w:tcPr>
            <w:tcW w:type="dxa" w:w="706"/>
          </w:tcPr>
          <w:p>
            <w:r/>
            <w:r>
              <w:rPr>
                <w:rFonts w:ascii="Arial" w:hAnsi="Arial"/>
                <w:sz w:val="16"/>
              </w:rPr>
              <w:t>L</w:t>
            </w:r>
          </w:p>
        </w:tc>
        <w:tc>
          <w:tcPr>
            <w:tcW w:type="dxa" w:w="706"/>
          </w:tcPr>
          <w:p>
            <w:r/>
            <w:r>
              <w:rPr>
                <w:rFonts w:ascii="Arial" w:hAnsi="Arial"/>
                <w:sz w:val="16"/>
              </w:rPr>
              <w:t>H</w:t>
            </w:r>
          </w:p>
        </w:tc>
        <w:tc>
          <w:tcPr>
            <w:tcW w:type="dxa" w:w="706"/>
          </w:tcPr>
          <w:p>
            <w:r/>
            <w:r>
              <w:rPr>
                <w:rFonts w:ascii="Arial" w:hAnsi="Arial"/>
                <w:sz w:val="16"/>
              </w:rPr>
              <w:t>M</w:t>
            </w:r>
          </w:p>
        </w:tc>
        <w:tc>
          <w:tcPr>
            <w:tcW w:type="dxa" w:w="706"/>
          </w:tcPr>
          <w:p>
            <w:r/>
            <w:r>
              <w:rPr>
                <w:rFonts w:ascii="Arial" w:hAnsi="Arial"/>
                <w:sz w:val="16"/>
              </w:rPr>
              <w:t>H</w:t>
            </w:r>
          </w:p>
        </w:tc>
        <w:tc>
          <w:tcPr>
            <w:tcW w:type="dxa" w:w="706"/>
          </w:tcPr>
          <w:p>
            <w:r/>
            <w:r>
              <w:rPr>
                <w:rFonts w:ascii="Arial" w:hAnsi="Arial"/>
                <w:sz w:val="16"/>
              </w:rPr>
              <w:t>M</w:t>
            </w:r>
          </w:p>
        </w:tc>
        <w:tc>
          <w:tcPr>
            <w:tcW w:type="dxa" w:w="706"/>
          </w:tcPr>
          <w:p>
            <w:r/>
            <w:r>
              <w:rPr>
                <w:rFonts w:ascii="Arial" w:hAnsi="Arial"/>
                <w:sz w:val="16"/>
              </w:rPr>
              <w:t>H</w:t>
            </w:r>
          </w:p>
        </w:tc>
      </w:tr>
      <w:tr>
        <w:tc>
          <w:tcPr>
            <w:tcW w:type="dxa" w:w="792"/>
            <w:shd w:val="clear" w:fill="EAF0F7"/>
          </w:tcPr>
          <w:p>
            <w:r/>
            <w:r>
              <w:rPr>
                <w:rFonts w:ascii="Arial" w:hAnsi="Arial"/>
                <w:sz w:val="16"/>
              </w:rPr>
              <w:t>P4</w:t>
            </w:r>
          </w:p>
        </w:tc>
        <w:tc>
          <w:tcPr>
            <w:tcW w:type="dxa" w:w="706"/>
            <w:shd w:val="clear" w:fill="EAF0F7"/>
          </w:tcPr>
          <w:p>
            <w:r/>
            <w:r>
              <w:rPr>
                <w:rFonts w:ascii="Arial" w:hAnsi="Arial"/>
                <w:sz w:val="16"/>
              </w:rPr>
              <w:t>H</w:t>
            </w:r>
          </w:p>
        </w:tc>
        <w:tc>
          <w:tcPr>
            <w:tcW w:type="dxa" w:w="706"/>
            <w:shd w:val="clear" w:fill="EAF0F7"/>
          </w:tcPr>
          <w:p>
            <w:r/>
            <w:r>
              <w:rPr>
                <w:rFonts w:ascii="Arial" w:hAnsi="Arial"/>
                <w:sz w:val="16"/>
              </w:rPr>
              <w:t>M</w:t>
            </w:r>
          </w:p>
        </w:tc>
        <w:tc>
          <w:tcPr>
            <w:tcW w:type="dxa" w:w="706"/>
            <w:shd w:val="clear" w:fill="EAF0F7"/>
          </w:tcPr>
          <w:p>
            <w:r/>
            <w:r>
              <w:rPr>
                <w:rFonts w:ascii="Arial" w:hAnsi="Arial"/>
                <w:sz w:val="16"/>
              </w:rPr>
              <w:t>H</w:t>
            </w:r>
          </w:p>
        </w:tc>
        <w:tc>
          <w:tcPr>
            <w:tcW w:type="dxa" w:w="706"/>
            <w:shd w:val="clear" w:fill="EAF0F7"/>
          </w:tcPr>
          <w:p>
            <w:r/>
            <w:r>
              <w:rPr>
                <w:rFonts w:ascii="Arial" w:hAnsi="Arial"/>
                <w:sz w:val="16"/>
              </w:rPr>
              <w:t>M</w:t>
            </w:r>
          </w:p>
        </w:tc>
        <w:tc>
          <w:tcPr>
            <w:tcW w:type="dxa" w:w="706"/>
            <w:shd w:val="clear" w:fill="EAF0F7"/>
          </w:tcPr>
          <w:p>
            <w:r/>
            <w:r>
              <w:rPr>
                <w:rFonts w:ascii="Arial" w:hAnsi="Arial"/>
                <w:sz w:val="16"/>
              </w:rPr>
              <w:t>H</w:t>
            </w:r>
          </w:p>
        </w:tc>
        <w:tc>
          <w:tcPr>
            <w:tcW w:type="dxa" w:w="706"/>
            <w:shd w:val="clear" w:fill="EAF0F7"/>
          </w:tcPr>
          <w:p>
            <w:r/>
            <w:r>
              <w:rPr>
                <w:rFonts w:ascii="Arial" w:hAnsi="Arial"/>
                <w:sz w:val="16"/>
              </w:rPr>
              <w:t>H</w:t>
            </w:r>
          </w:p>
        </w:tc>
        <w:tc>
          <w:tcPr>
            <w:tcW w:type="dxa" w:w="706"/>
            <w:shd w:val="clear" w:fill="EAF0F7"/>
          </w:tcPr>
          <w:p>
            <w:r/>
            <w:r>
              <w:rPr>
                <w:rFonts w:ascii="Arial" w:hAnsi="Arial"/>
                <w:sz w:val="16"/>
              </w:rPr>
              <w:t>M</w:t>
            </w:r>
          </w:p>
        </w:tc>
        <w:tc>
          <w:tcPr>
            <w:tcW w:type="dxa" w:w="706"/>
            <w:shd w:val="clear" w:fill="EAF0F7"/>
          </w:tcPr>
          <w:p>
            <w:r/>
            <w:r>
              <w:rPr>
                <w:rFonts w:ascii="Arial" w:hAnsi="Arial"/>
                <w:sz w:val="16"/>
              </w:rPr>
              <w:t>H</w:t>
            </w:r>
          </w:p>
        </w:tc>
        <w:tc>
          <w:tcPr>
            <w:tcW w:type="dxa" w:w="706"/>
            <w:shd w:val="clear" w:fill="EAF0F7"/>
          </w:tcPr>
          <w:p>
            <w:r/>
            <w:r>
              <w:rPr>
                <w:rFonts w:ascii="Arial" w:hAnsi="Arial"/>
                <w:sz w:val="16"/>
              </w:rPr>
              <w:t>H</w:t>
            </w:r>
          </w:p>
        </w:tc>
        <w:tc>
          <w:tcPr>
            <w:tcW w:type="dxa" w:w="706"/>
            <w:shd w:val="clear" w:fill="EAF0F7"/>
          </w:tcPr>
          <w:p>
            <w:r/>
            <w:r>
              <w:rPr>
                <w:rFonts w:ascii="Arial" w:hAnsi="Arial"/>
                <w:sz w:val="16"/>
              </w:rPr>
              <w:t>H</w:t>
            </w:r>
          </w:p>
        </w:tc>
        <w:tc>
          <w:tcPr>
            <w:tcW w:type="dxa" w:w="706"/>
            <w:shd w:val="clear" w:fill="EAF0F7"/>
          </w:tcPr>
          <w:p>
            <w:r/>
            <w:r>
              <w:rPr>
                <w:rFonts w:ascii="Arial" w:hAnsi="Arial"/>
                <w:sz w:val="16"/>
              </w:rPr>
              <w:t>H</w:t>
            </w:r>
          </w:p>
        </w:tc>
        <w:tc>
          <w:tcPr>
            <w:tcW w:type="dxa" w:w="706"/>
            <w:shd w:val="clear" w:fill="EAF0F7"/>
          </w:tcPr>
          <w:p>
            <w:r/>
            <w:r>
              <w:rPr>
                <w:rFonts w:ascii="Arial" w:hAnsi="Arial"/>
                <w:sz w:val="16"/>
              </w:rPr>
              <w:t>H</w:t>
            </w:r>
          </w:p>
        </w:tc>
      </w:tr>
      <w:tr>
        <w:tc>
          <w:tcPr>
            <w:tcW w:type="dxa" w:w="792"/>
          </w:tcPr>
          <w:p>
            <w:r/>
            <w:r>
              <w:rPr>
                <w:rFonts w:ascii="Arial" w:hAnsi="Arial"/>
                <w:sz w:val="16"/>
              </w:rPr>
              <w:t>P5</w:t>
            </w:r>
          </w:p>
        </w:tc>
        <w:tc>
          <w:tcPr>
            <w:tcW w:type="dxa" w:w="706"/>
          </w:tcPr>
          <w:p>
            <w:r/>
            <w:r>
              <w:rPr>
                <w:rFonts w:ascii="Arial" w:hAnsi="Arial"/>
                <w:sz w:val="16"/>
              </w:rPr>
              <w:t>M</w:t>
            </w:r>
          </w:p>
        </w:tc>
        <w:tc>
          <w:tcPr>
            <w:tcW w:type="dxa" w:w="706"/>
          </w:tcPr>
          <w:p>
            <w:r/>
            <w:r>
              <w:rPr>
                <w:rFonts w:ascii="Arial" w:hAnsi="Arial"/>
                <w:sz w:val="16"/>
              </w:rPr>
              <w:t>M</w:t>
            </w:r>
          </w:p>
        </w:tc>
        <w:tc>
          <w:tcPr>
            <w:tcW w:type="dxa" w:w="706"/>
          </w:tcPr>
          <w:p>
            <w:r/>
            <w:r>
              <w:rPr>
                <w:rFonts w:ascii="Arial" w:hAnsi="Arial"/>
                <w:sz w:val="16"/>
              </w:rPr>
              <w:t>M</w:t>
            </w:r>
          </w:p>
        </w:tc>
        <w:tc>
          <w:tcPr>
            <w:tcW w:type="dxa" w:w="706"/>
          </w:tcPr>
          <w:p>
            <w:r/>
            <w:r>
              <w:rPr>
                <w:rFonts w:ascii="Arial" w:hAnsi="Arial"/>
                <w:sz w:val="16"/>
              </w:rPr>
              <w:t>M</w:t>
            </w:r>
          </w:p>
        </w:tc>
        <w:tc>
          <w:tcPr>
            <w:tcW w:type="dxa" w:w="706"/>
          </w:tcPr>
          <w:p>
            <w:r/>
            <w:r>
              <w:rPr>
                <w:rFonts w:ascii="Arial" w:hAnsi="Arial"/>
                <w:sz w:val="16"/>
              </w:rPr>
              <w:t>H</w:t>
            </w:r>
          </w:p>
        </w:tc>
        <w:tc>
          <w:tcPr>
            <w:tcW w:type="dxa" w:w="706"/>
          </w:tcPr>
          <w:p>
            <w:r/>
            <w:r>
              <w:rPr>
                <w:rFonts w:ascii="Arial" w:hAnsi="Arial"/>
                <w:sz w:val="16"/>
              </w:rPr>
              <w:t>L</w:t>
            </w:r>
          </w:p>
        </w:tc>
        <w:tc>
          <w:tcPr>
            <w:tcW w:type="dxa" w:w="706"/>
          </w:tcPr>
          <w:p>
            <w:r/>
            <w:r>
              <w:rPr>
                <w:rFonts w:ascii="Arial" w:hAnsi="Arial"/>
                <w:sz w:val="16"/>
              </w:rPr>
              <w:t>L</w:t>
            </w:r>
          </w:p>
        </w:tc>
        <w:tc>
          <w:tcPr>
            <w:tcW w:type="dxa" w:w="706"/>
          </w:tcPr>
          <w:p>
            <w:r/>
            <w:r>
              <w:rPr>
                <w:rFonts w:ascii="Arial" w:hAnsi="Arial"/>
                <w:sz w:val="16"/>
              </w:rPr>
              <w:t>H</w:t>
            </w:r>
          </w:p>
        </w:tc>
        <w:tc>
          <w:tcPr>
            <w:tcW w:type="dxa" w:w="706"/>
          </w:tcPr>
          <w:p>
            <w:r/>
            <w:r>
              <w:rPr>
                <w:rFonts w:ascii="Arial" w:hAnsi="Arial"/>
                <w:sz w:val="16"/>
              </w:rPr>
              <w:t>H</w:t>
            </w:r>
          </w:p>
        </w:tc>
        <w:tc>
          <w:tcPr>
            <w:tcW w:type="dxa" w:w="706"/>
          </w:tcPr>
          <w:p>
            <w:r/>
            <w:r>
              <w:rPr>
                <w:rFonts w:ascii="Arial" w:hAnsi="Arial"/>
                <w:sz w:val="16"/>
              </w:rPr>
              <w:t>H</w:t>
            </w:r>
          </w:p>
        </w:tc>
        <w:tc>
          <w:tcPr>
            <w:tcW w:type="dxa" w:w="706"/>
          </w:tcPr>
          <w:p>
            <w:r/>
            <w:r>
              <w:rPr>
                <w:rFonts w:ascii="Arial" w:hAnsi="Arial"/>
                <w:sz w:val="16"/>
              </w:rPr>
              <w:t>H</w:t>
            </w:r>
          </w:p>
        </w:tc>
        <w:tc>
          <w:tcPr>
            <w:tcW w:type="dxa" w:w="706"/>
          </w:tcPr>
          <w:p>
            <w:r/>
            <w:r>
              <w:rPr>
                <w:rFonts w:ascii="Arial" w:hAnsi="Arial"/>
                <w:sz w:val="16"/>
              </w:rPr>
              <w:t>H</w:t>
            </w:r>
          </w:p>
        </w:tc>
      </w:tr>
    </w:tbl>
    <w:p>
      <w:r>
        <w:br w:type="page"/>
      </w:r>
    </w:p>
    <w:p>
      <w:pPr>
        <w:pStyle w:val="Heading1"/>
      </w:pPr>
      <w:r>
        <w:rPr>
          <w:rFonts w:ascii="Arial" w:hAnsi="Arial"/>
          <w:b/>
          <w:color w:val="1F4E79"/>
          <w:sz w:val="30"/>
        </w:rPr>
        <w:t>DECLARATION</w:t>
      </w:r>
    </w:p>
    <w:p>
      <w:pPr>
        <w:spacing w:after="360" w:line="293" w:lineRule="auto"/>
        <w:jc w:val="both"/>
      </w:pPr>
      <w:r>
        <w:rPr>
          <w:rFonts w:ascii="Arial" w:hAnsi="Arial"/>
          <w:b w:val="0"/>
          <w:i w:val="0"/>
          <w:sz w:val="22"/>
        </w:rPr>
        <w:t>We hereby declare that the results embodied in the project report entitled “Learning in Focus — A Vision-Transformer System for Real-Time Student Engagement and Collaboration Analysis” have been carried out by us during the academic year 2025–26 as a partial fulfillment of the B.Tech II Year II Semester course “Real-Time Research Project (RTRP)”. We have not submitted this report to any other course or college.</w:t>
      </w:r>
    </w:p>
    <w:p>
      <w:pPr>
        <w:spacing w:after="60"/>
        <w:jc w:val="center"/>
      </w:pPr>
      <w:r>
        <w:rPr>
          <w:rFonts w:ascii="Arial" w:hAnsi="Arial"/>
          <w:b/>
          <w:i w:val="0"/>
          <w:sz w:val="22"/>
        </w:rPr>
        <w:t>Md Anas      —      24BD1A6655</w:t>
      </w:r>
    </w:p>
    <w:p>
      <w:pPr>
        <w:spacing w:after="60"/>
        <w:jc w:val="center"/>
      </w:pPr>
      <w:r>
        <w:rPr>
          <w:rFonts w:ascii="Arial" w:hAnsi="Arial"/>
          <w:b/>
          <w:i w:val="0"/>
          <w:sz w:val="22"/>
        </w:rPr>
        <w:t>A. Nikhil      —      24BD1A6642</w:t>
      </w:r>
    </w:p>
    <w:p>
      <w:pPr>
        <w:spacing w:after="60"/>
        <w:jc w:val="center"/>
      </w:pPr>
      <w:r>
        <w:rPr>
          <w:rFonts w:ascii="Arial" w:hAnsi="Arial"/>
          <w:b/>
          <w:i w:val="0"/>
          <w:sz w:val="22"/>
        </w:rPr>
        <w:t>Y. Lohith Reddy      —      24BD1A66K3</w:t>
      </w:r>
    </w:p>
    <w:p>
      <w:pPr>
        <w:spacing w:after="60"/>
        <w:jc w:val="center"/>
      </w:pPr>
      <w:r>
        <w:rPr>
          <w:rFonts w:ascii="Arial" w:hAnsi="Arial"/>
          <w:b/>
          <w:i w:val="0"/>
          <w:sz w:val="22"/>
        </w:rPr>
        <w:t>Boru Tejaswini      —      24BD1A6646</w:t>
      </w:r>
    </w:p>
    <w:p>
      <w:pPr>
        <w:spacing w:after="60"/>
        <w:jc w:val="center"/>
      </w:pPr>
      <w:r>
        <w:rPr>
          <w:rFonts w:ascii="Arial" w:hAnsi="Arial"/>
          <w:b/>
          <w:i w:val="0"/>
          <w:sz w:val="22"/>
        </w:rPr>
        <w:t>Kanak Kabra      —      24BD1A664T</w:t>
      </w:r>
    </w:p>
    <w:p>
      <w:r>
        <w:br w:type="page"/>
      </w:r>
    </w:p>
    <w:p>
      <w:pPr>
        <w:pStyle w:val="Heading1"/>
      </w:pPr>
      <w:r>
        <w:rPr>
          <w:rFonts w:ascii="Arial" w:hAnsi="Arial"/>
          <w:b/>
          <w:color w:val="1F4E79"/>
          <w:sz w:val="30"/>
        </w:rPr>
        <w:t>ACKNOWLEDGEMENT</w:t>
      </w:r>
    </w:p>
    <w:p>
      <w:pPr>
        <w:spacing w:after="160" w:line="293" w:lineRule="auto"/>
        <w:jc w:val="both"/>
      </w:pPr>
      <w:r>
        <w:rPr>
          <w:rFonts w:ascii="Arial" w:hAnsi="Arial"/>
          <w:b w:val="0"/>
          <w:i w:val="0"/>
          <w:sz w:val="22"/>
        </w:rPr>
        <w:t>We take this opportunity to thank all the people who have rendered their full support to our project work. We render our thanks to Dr. B. L. Malleswari, Principal, who encouraged us to do the project.</w:t>
      </w:r>
    </w:p>
    <w:p>
      <w:pPr>
        <w:spacing w:after="160" w:line="293" w:lineRule="auto"/>
        <w:jc w:val="both"/>
      </w:pPr>
      <w:r>
        <w:rPr>
          <w:rFonts w:ascii="Arial" w:hAnsi="Arial"/>
          <w:b w:val="0"/>
          <w:i w:val="0"/>
          <w:sz w:val="22"/>
        </w:rPr>
        <w:t>We are grateful to Mr. Neil Gogte, Founder &amp; Director, and Mr. S. Nitin, Director, for facilitating all the amenities required for carrying out this project.</w:t>
      </w:r>
    </w:p>
    <w:p>
      <w:pPr>
        <w:spacing w:after="160" w:line="293" w:lineRule="auto"/>
        <w:jc w:val="both"/>
      </w:pPr>
      <w:r>
        <w:rPr>
          <w:rFonts w:ascii="Arial" w:hAnsi="Arial"/>
          <w:b w:val="0"/>
          <w:i w:val="0"/>
          <w:sz w:val="22"/>
        </w:rPr>
        <w:t>We express our sincere gratitude to Ms. Deepa Ganu, Academic Director, for providing an excellent environment in the college.</w:t>
      </w:r>
    </w:p>
    <w:p>
      <w:pPr>
        <w:spacing w:after="160" w:line="293" w:lineRule="auto"/>
        <w:jc w:val="both"/>
      </w:pPr>
      <w:r>
        <w:rPr>
          <w:rFonts w:ascii="Arial" w:hAnsi="Arial"/>
          <w:b w:val="0"/>
          <w:i w:val="0"/>
          <w:sz w:val="22"/>
        </w:rPr>
        <w:t>We are also thankful to Mr. Shailesh Gangakhedkar, RTRP Program Coordinator, for providing us with time and guidance to make this project a success within the given schedule.</w:t>
      </w:r>
    </w:p>
    <w:p>
      <w:pPr>
        <w:spacing w:after="160" w:line="293" w:lineRule="auto"/>
        <w:jc w:val="both"/>
      </w:pPr>
      <w:r>
        <w:rPr>
          <w:rFonts w:ascii="Arial" w:hAnsi="Arial"/>
          <w:b w:val="0"/>
          <w:i w:val="0"/>
          <w:sz w:val="22"/>
        </w:rPr>
        <w:t>We extend our heartfelt thanks to our Project Mentor, Ms. Nidhi Srivastav, and our Domain Head, Ms. P. Sirisha, for their valuable guidance and constant encouragement throughout the project work.</w:t>
      </w:r>
    </w:p>
    <w:p>
      <w:pPr>
        <w:spacing w:after="160" w:line="293" w:lineRule="auto"/>
        <w:jc w:val="both"/>
      </w:pPr>
      <w:r>
        <w:rPr>
          <w:rFonts w:ascii="Arial" w:hAnsi="Arial"/>
          <w:b w:val="0"/>
          <w:i w:val="0"/>
          <w:sz w:val="22"/>
        </w:rPr>
        <w:t>We would like to thank the entire KMIT faculty, and our friends and family, for their direct and indirect support in the completion of this project.</w:t>
      </w:r>
    </w:p>
    <w:p>
      <w:r>
        <w:br w:type="page"/>
      </w:r>
    </w:p>
    <w:p>
      <w:pPr>
        <w:pStyle w:val="Heading1"/>
      </w:pPr>
      <w:r>
        <w:rPr>
          <w:rFonts w:ascii="Arial" w:hAnsi="Arial"/>
          <w:b/>
          <w:color w:val="1F4E79"/>
          <w:sz w:val="30"/>
        </w:rPr>
        <w:t>ABSTRACT</w:t>
      </w:r>
    </w:p>
    <w:p>
      <w:pPr>
        <w:spacing w:after="120" w:line="293" w:lineRule="auto"/>
        <w:jc w:val="both"/>
      </w:pPr>
      <w:r>
        <w:rPr>
          <w:rFonts w:ascii="Arial" w:hAnsi="Arial"/>
          <w:b w:val="0"/>
          <w:i w:val="0"/>
          <w:sz w:val="22"/>
        </w:rPr>
        <w:t>Learning in Focus is an AI system that measures, in real time and from ordinary classroom video, two distinct things that earlier tools conflate: individual student engagement and group collaboration. Traditional engagement measurement — surveys and manual observation — is subjective, intermittent and does not scale, while naive automation wrongly treats “more people together” as collaboration. This project separates the two problems and solves each with a deep-learning pipeline built around a Swin Transformer, under a deliberate discipline of honest, leakage-free evaluation rather than headline accuracy.</w:t>
      </w:r>
    </w:p>
    <w:p>
      <w:pPr>
        <w:spacing w:after="120" w:line="293" w:lineRule="auto"/>
        <w:jc w:val="both"/>
      </w:pPr>
      <w:r>
        <w:rPr>
          <w:rFonts w:ascii="Arial" w:hAnsi="Arial"/>
          <w:b w:val="0"/>
          <w:i w:val="0"/>
          <w:sz w:val="22"/>
        </w:rPr>
        <w:t>Engagement is modelled at the clip level: a Swin-Tiny backbone extracts per-frame features that a two-layer Temporal Transformer aggregates over eight-frame clips to classify each tracked student as Engaged or Not Engaged. Trained on DAiSEE plus 28 self-recorded classroom videos and evaluated on five entirely unseen classrooms with disjoint video-, clip- and person-level splits, it attains a held-out macro-F1 of 0.73 (76.7% accuracy); a 0.90 validation score is reported transparently as selection-optimistic.</w:t>
      </w:r>
    </w:p>
    <w:p>
      <w:pPr>
        <w:spacing w:after="120" w:line="293" w:lineRule="auto"/>
        <w:jc w:val="both"/>
      </w:pPr>
      <w:r>
        <w:rPr>
          <w:rFonts w:ascii="Arial" w:hAnsi="Arial"/>
          <w:b w:val="0"/>
          <w:i w:val="0"/>
          <w:sz w:val="22"/>
        </w:rPr>
        <w:t>Collaboration is modelled separately at the session (group) level: per-person Swin features become relational signals (state similarity, joint activity, turn-taking), aggregated across all pairs into one verdict by a small regularised read-out. Under Leave-One-Video-Out this reaches macro-F1 0.667, rising to 0.764 with head-pose gaze cues (model-free mutual-gaze AUC 0.705). Within-scene pair-level collaboration was found honestly undetectable and reported as such. The models are deployed in EduLens, a real-time Next.js + FastAPI web application that tracks every student, overlays engagement, scores collaboration, raises alerts, replays incidents, and answers questions via an AI Copilot — without any facial identification.</w:t>
      </w:r>
    </w:p>
    <w:p>
      <w:r>
        <w:br w:type="page"/>
      </w:r>
    </w:p>
    <w:p>
      <w:pPr>
        <w:pStyle w:val="Heading1"/>
      </w:pPr>
      <w:r>
        <w:rPr>
          <w:rFonts w:ascii="Arial" w:hAnsi="Arial"/>
          <w:b/>
          <w:color w:val="1F4E79"/>
          <w:sz w:val="30"/>
        </w:rPr>
        <w:t>TABLE OF CONTENTS</w:t>
      </w:r>
    </w:p>
    <w:p>
      <w:r>
        <w:fldChar w:fldCharType="begin"/>
        <w:instrText xml:space="preserve">TOC \o "1-2" \h \z \u</w:instrText>
        <w:fldChar w:fldCharType="separate"/>
        <w:t>Open in Word, then right-click here and choose “Update Field” to build the contents.</w:t>
        <w:fldChar w:fldCharType="end"/>
      </w:r>
    </w:p>
    <w:p>
      <w:r>
        <w:br w:type="page"/>
      </w:r>
    </w:p>
    <w:p>
      <w:pPr>
        <w:pStyle w:val="Heading1"/>
      </w:pPr>
      <w:r>
        <w:rPr>
          <w:rFonts w:ascii="Arial" w:hAnsi="Arial"/>
          <w:b/>
          <w:color w:val="1F4E79"/>
          <w:sz w:val="30"/>
        </w:rPr>
        <w:t>LIST OF FIGURES</w:t>
      </w:r>
    </w:p>
    <w:p>
      <w:pPr>
        <w:pStyle w:val="ListBullet"/>
        <w:spacing w:after="60"/>
      </w:pPr>
      <w:r>
        <w:rPr>
          <w:rFonts w:ascii="Arial" w:hAnsi="Arial"/>
          <w:sz w:val="22"/>
        </w:rPr>
        <w:t>Figure 4.1 — Learning in Focus system pipeline (detection → tracking → Swin temporal → dual heads → EduLens).</w:t>
      </w:r>
    </w:p>
    <w:p>
      <w:pPr>
        <w:pStyle w:val="ListBullet"/>
        <w:spacing w:after="60"/>
      </w:pPr>
      <w:r>
        <w:rPr>
          <w:rFonts w:ascii="Arial" w:hAnsi="Arial"/>
          <w:sz w:val="22"/>
        </w:rPr>
        <w:t>Figure 7.1 — Results: Phase-1 engagement (validation vs honest test) and Phase-2 collaboration (signals vs signals+gaze).</w:t>
      </w:r>
    </w:p>
    <w:p>
      <w:r>
        <w:br w:type="page"/>
      </w:r>
    </w:p>
    <w:p>
      <w:pPr>
        <w:pStyle w:val="Heading1"/>
      </w:pPr>
      <w:r>
        <w:rPr>
          <w:rFonts w:ascii="Arial" w:hAnsi="Arial"/>
          <w:b/>
          <w:color w:val="1F4E79"/>
          <w:sz w:val="30"/>
        </w:rPr>
        <w:t>Chapter 1  ·  Introduction</w:t>
      </w:r>
    </w:p>
    <w:p>
      <w:pPr>
        <w:pStyle w:val="Heading2"/>
      </w:pPr>
      <w:r>
        <w:rPr>
          <w:rFonts w:ascii="Arial" w:hAnsi="Arial"/>
          <w:b/>
          <w:color w:val="1F4E79"/>
          <w:sz w:val="25"/>
        </w:rPr>
        <w:t>1.1 Background</w:t>
      </w:r>
    </w:p>
    <w:p>
      <w:pPr>
        <w:spacing w:after="120" w:line="293" w:lineRule="auto"/>
        <w:jc w:val="both"/>
      </w:pPr>
      <w:r>
        <w:rPr>
          <w:rFonts w:ascii="Arial" w:hAnsi="Arial"/>
          <w:b w:val="0"/>
          <w:i w:val="0"/>
          <w:sz w:val="22"/>
        </w:rPr>
        <w:t>Student engagement — the attention, curiosity and involvement a learner brings to a class — is one of the strongest correlates of learning outcomes. In most classrooms it is still judged informally by the teacher, or measured through occasional surveys. Both approaches are subjective, intermittent and impossible to scale to every student in every minute of a class. Collaboration, the productive interaction of students working toward a shared goal, is even harder to observe and is rarely measured at all. Advances in computer vision and deep learning, and in particular the Vision Transformer family, make it feasible to estimate both signals automatically from ordinary classroom video.</w:t>
      </w:r>
    </w:p>
    <w:p>
      <w:pPr>
        <w:pStyle w:val="Heading2"/>
      </w:pPr>
      <w:r>
        <w:rPr>
          <w:rFonts w:ascii="Arial" w:hAnsi="Arial"/>
          <w:b/>
          <w:color w:val="1F4E79"/>
          <w:sz w:val="25"/>
        </w:rPr>
        <w:t>1.2 Problem Statement</w:t>
      </w:r>
    </w:p>
    <w:p>
      <w:pPr>
        <w:spacing w:after="120" w:line="293" w:lineRule="auto"/>
        <w:jc w:val="both"/>
      </w:pPr>
      <w:r>
        <w:rPr>
          <w:rFonts w:ascii="Arial" w:hAnsi="Arial"/>
          <w:b w:val="0"/>
          <w:i w:val="0"/>
          <w:sz w:val="22"/>
        </w:rPr>
        <w:t>The project sets out to automatically measure, from classroom video, (i) each student’s engagement and (ii) whether a group is collaborating. The problem is deceptively hard for four reasons. First, engagement and collaboration are routinely conflated — many people in a frame does not imply collaboration, and a single student can be deeply engaged alone. Second, real classrooms contain occlusion, back-of-head views, varied lighting and pose. Third, collaboration is not a directly visible label; it must be derived from interaction cues such as proximity, shared attention and turn-taking. Fourth — and most importantly for a credible result — naive evaluation leaks information across train and test (shared clips, persons or scenes) and produces accuracy numbers that collapse on unseen classrooms.</w:t>
      </w:r>
    </w:p>
    <w:p>
      <w:pPr>
        <w:pStyle w:val="Heading2"/>
      </w:pPr>
      <w:r>
        <w:rPr>
          <w:rFonts w:ascii="Arial" w:hAnsi="Arial"/>
          <w:b/>
          <w:color w:val="1F4E79"/>
          <w:sz w:val="25"/>
        </w:rPr>
        <w:t>1.3 Objectives</w:t>
      </w:r>
    </w:p>
    <w:p>
      <w:pPr>
        <w:pStyle w:val="ListBullet"/>
        <w:spacing w:after="60"/>
      </w:pPr>
      <w:r>
        <w:rPr>
          <w:rFonts w:ascii="Arial" w:hAnsi="Arial"/>
          <w:sz w:val="22"/>
        </w:rPr>
        <w:t>Detect and track every student in a classroom video and assign persistent identities.</w:t>
      </w:r>
    </w:p>
    <w:p>
      <w:pPr>
        <w:pStyle w:val="ListBullet"/>
        <w:spacing w:after="60"/>
      </w:pPr>
      <w:r>
        <w:rPr>
          <w:rFonts w:ascii="Arial" w:hAnsi="Arial"/>
          <w:sz w:val="22"/>
        </w:rPr>
        <w:t>Classify each tracked student’s engagement (Engaged / Not Engaged) over time using a Swin-Transformer temporal model.</w:t>
      </w:r>
    </w:p>
    <w:p>
      <w:pPr>
        <w:pStyle w:val="ListBullet"/>
        <w:spacing w:after="60"/>
      </w:pPr>
      <w:r>
        <w:rPr>
          <w:rFonts w:ascii="Arial" w:hAnsi="Arial"/>
          <w:sz w:val="22"/>
        </w:rPr>
        <w:t>Derive a group-level collaboration verdict from relational and gaze signals, kept independent of engagement.</w:t>
      </w:r>
    </w:p>
    <w:p>
      <w:pPr>
        <w:pStyle w:val="ListBullet"/>
        <w:spacing w:after="60"/>
      </w:pPr>
      <w:r>
        <w:rPr>
          <w:rFonts w:ascii="Arial" w:hAnsi="Arial"/>
          <w:sz w:val="22"/>
        </w:rPr>
        <w:t>Evaluate every claim under a leakage-free protocol and report honest, defensible metrics.</w:t>
      </w:r>
    </w:p>
    <w:p>
      <w:pPr>
        <w:pStyle w:val="ListBullet"/>
        <w:spacing w:after="60"/>
      </w:pPr>
      <w:r>
        <w:rPr>
          <w:rFonts w:ascii="Arial" w:hAnsi="Arial"/>
          <w:sz w:val="22"/>
        </w:rPr>
        <w:t>Deploy the system as a real-time, privacy-preserving web application usable by teachers.</w:t>
      </w:r>
    </w:p>
    <w:p>
      <w:pPr>
        <w:pStyle w:val="Heading2"/>
      </w:pPr>
      <w:r>
        <w:rPr>
          <w:rFonts w:ascii="Arial" w:hAnsi="Arial"/>
          <w:b/>
          <w:color w:val="1F4E79"/>
          <w:sz w:val="25"/>
        </w:rPr>
        <w:t>1.4 Scope</w:t>
      </w:r>
    </w:p>
    <w:p>
      <w:pPr>
        <w:spacing w:after="120" w:line="293" w:lineRule="auto"/>
        <w:jc w:val="both"/>
      </w:pPr>
      <w:r>
        <w:rPr>
          <w:rFonts w:ascii="Arial" w:hAnsi="Arial"/>
          <w:b w:val="0"/>
          <w:i w:val="0"/>
          <w:sz w:val="22"/>
        </w:rPr>
        <w:t>The system operates on recorded or live classroom video. Engagement is a binary, per-student, clip-level prediction; collaboration is a single session-level verdict per video. The deliverable is the trained model pair plus EduLens, a web application that surfaces the results. The project deliberately does not perform facial identification and does not claim within-scene pair-level collaboration, which our evaluation showed to be unreliable.</w:t>
      </w:r>
    </w:p>
    <w:p>
      <w:pPr>
        <w:pStyle w:val="Heading2"/>
      </w:pPr>
      <w:r>
        <w:rPr>
          <w:rFonts w:ascii="Arial" w:hAnsi="Arial"/>
          <w:b/>
          <w:color w:val="1F4E79"/>
          <w:sz w:val="25"/>
        </w:rPr>
        <w:t>1.5 Contributions and Standout Aspects</w:t>
      </w:r>
    </w:p>
    <w:p>
      <w:pPr>
        <w:pStyle w:val="ListBullet"/>
        <w:spacing w:after="60"/>
      </w:pPr>
      <w:r>
        <w:rPr>
          <w:rFonts w:ascii="Arial" w:hAnsi="Arial"/>
          <w:sz w:val="22"/>
        </w:rPr>
        <w:t>A clip-level Swin-Tiny + Temporal-Transformer engagement model that generalises to unseen rooms (honest test macro-F1 0.73).</w:t>
      </w:r>
    </w:p>
    <w:p>
      <w:pPr>
        <w:pStyle w:val="ListBullet"/>
        <w:spacing w:after="60"/>
      </w:pPr>
      <w:r>
        <w:rPr>
          <w:rFonts w:ascii="Arial" w:hAnsi="Arial"/>
          <w:sz w:val="22"/>
        </w:rPr>
        <w:t>A session-level collaboration model that improves from 0.667 to 0.764 by adding model-free gaze cues — a result verified against coverage confounds.</w:t>
      </w:r>
    </w:p>
    <w:p>
      <w:pPr>
        <w:pStyle w:val="ListBullet"/>
        <w:spacing w:after="60"/>
      </w:pPr>
      <w:r>
        <w:rPr>
          <w:rFonts w:ascii="Arial" w:hAnsi="Arial"/>
          <w:sz w:val="22"/>
        </w:rPr>
        <w:t>An uncompromising honesty discipline: every headline number is tied to a leakage-free split and a runnable script, and negative results (pair-level collaboration) are reported rather than hidden.</w:t>
      </w:r>
    </w:p>
    <w:p>
      <w:pPr>
        <w:pStyle w:val="ListBullet"/>
        <w:spacing w:after="60"/>
      </w:pPr>
      <w:r>
        <w:rPr>
          <w:rFonts w:ascii="Arial" w:hAnsi="Arial"/>
          <w:sz w:val="22"/>
        </w:rPr>
        <w:t>EduLens — a polished real-time application featuring a live monitor with per-student boxes, a Digital Classroom Twin, a Class Health Score, tiered alerts, an interaction graph, timeline replay, an AI Classroom Copilot and PDF reports.</w:t>
      </w:r>
    </w:p>
    <w:p>
      <w:pPr>
        <w:pStyle w:val="Heading2"/>
      </w:pPr>
      <w:r>
        <w:rPr>
          <w:rFonts w:ascii="Arial" w:hAnsi="Arial"/>
          <w:b/>
          <w:color w:val="1F4E79"/>
          <w:sz w:val="25"/>
        </w:rPr>
        <w:t>1.6 Organization of the Report</w:t>
      </w:r>
    </w:p>
    <w:p>
      <w:pPr>
        <w:spacing w:after="120" w:line="293" w:lineRule="auto"/>
        <w:jc w:val="both"/>
      </w:pPr>
      <w:r>
        <w:rPr>
          <w:rFonts w:ascii="Arial" w:hAnsi="Arial"/>
          <w:b w:val="0"/>
          <w:i w:val="0"/>
          <w:sz w:val="22"/>
        </w:rPr>
        <w:t>Chapter 2 surveys the relevant literature. Chapter 3 presents system analysis and requirements. Chapter 4 describes the design and architecture. Chapter 5 details the implementation, datasets and honest-evaluation methodology. Chapter 6 covers testing, Chapter 7 the results and the EduLens features, and Chapter 8 concludes with future scope.</w:t>
      </w:r>
    </w:p>
    <w:p>
      <w:r>
        <w:br w:type="page"/>
      </w:r>
    </w:p>
    <w:p>
      <w:pPr>
        <w:pStyle w:val="Heading1"/>
      </w:pPr>
      <w:r>
        <w:rPr>
          <w:rFonts w:ascii="Arial" w:hAnsi="Arial"/>
          <w:b/>
          <w:color w:val="1F4E79"/>
          <w:sz w:val="30"/>
        </w:rPr>
        <w:t>Chapter 2  ·  Literature Survey</w:t>
      </w:r>
    </w:p>
    <w:p>
      <w:pPr>
        <w:pStyle w:val="Heading2"/>
      </w:pPr>
      <w:r>
        <w:rPr>
          <w:rFonts w:ascii="Arial" w:hAnsi="Arial"/>
          <w:b/>
          <w:color w:val="1F4E79"/>
          <w:sz w:val="25"/>
        </w:rPr>
        <w:t>2.1 Vision Transformers and the Swin Transformer</w:t>
      </w:r>
    </w:p>
    <w:p>
      <w:pPr>
        <w:spacing w:after="120" w:line="293" w:lineRule="auto"/>
        <w:jc w:val="both"/>
      </w:pPr>
      <w:r>
        <w:rPr>
          <w:rFonts w:ascii="Arial" w:hAnsi="Arial"/>
          <w:b w:val="0"/>
          <w:i w:val="0"/>
          <w:sz w:val="22"/>
        </w:rPr>
        <w:t>The Vision Transformer (ViT) showed that pure self-attention, applied to image patches, can match or exceed convolutional networks given enough data. Its quadratic cost and lack of locality were addressed by the Swin Transformer, which computes self-attention within shifted local windows and builds a hierarchical, multi-scale representation. This makes Swin an efficient, strong backbone for fine-grained recognition tasks such as reading attentional cues from a cropped student. We adopt Swin-Tiny as the per-frame feature extractor.</w:t>
      </w:r>
    </w:p>
    <w:p>
      <w:pPr>
        <w:pStyle w:val="Heading2"/>
      </w:pPr>
      <w:r>
        <w:rPr>
          <w:rFonts w:ascii="Arial" w:hAnsi="Arial"/>
          <w:b/>
          <w:color w:val="1F4E79"/>
          <w:sz w:val="25"/>
        </w:rPr>
        <w:t>2.2 Engagement Recognition and DAiSEE</w:t>
      </w:r>
    </w:p>
    <w:p>
      <w:pPr>
        <w:spacing w:after="120" w:line="293" w:lineRule="auto"/>
        <w:jc w:val="both"/>
      </w:pPr>
      <w:r>
        <w:rPr>
          <w:rFonts w:ascii="Arial" w:hAnsi="Arial"/>
          <w:b w:val="0"/>
          <w:i w:val="0"/>
          <w:sz w:val="22"/>
        </w:rPr>
        <w:t>Engagement recognition has been studied on datasets such as DAiSEE, which provides video clips labelled for affective/engagement states. Reported accuracies vary widely with the evaluation protocol; many high numbers in the literature come from person- or clip-overlapping splits. Our review made clear that a credible engagement result requires person- and video-disjoint splits, which we enforce.</w:t>
      </w:r>
    </w:p>
    <w:p>
      <w:pPr>
        <w:pStyle w:val="Heading2"/>
      </w:pPr>
      <w:r>
        <w:rPr>
          <w:rFonts w:ascii="Arial" w:hAnsi="Arial"/>
          <w:b/>
          <w:color w:val="1F4E79"/>
          <w:sz w:val="25"/>
        </w:rPr>
        <w:t>2.3 Temporal Modelling</w:t>
      </w:r>
    </w:p>
    <w:p>
      <w:pPr>
        <w:spacing w:after="120" w:line="293" w:lineRule="auto"/>
        <w:jc w:val="both"/>
      </w:pPr>
      <w:r>
        <w:rPr>
          <w:rFonts w:ascii="Arial" w:hAnsi="Arial"/>
          <w:b w:val="0"/>
          <w:i w:val="0"/>
          <w:sz w:val="22"/>
        </w:rPr>
        <w:t>Engagement is not instantaneous — a momentary glance away does not mean disengagement. Per-frame predictions must therefore be aggregated over time. We compared frame-level pooling against a small Temporal Transformer over 8-frame clips and found the temporal model to be both more accurate and more stable, which is why the final architecture aggregates frame features with a two-layer, eight-head Temporal Transformer.</w:t>
      </w:r>
    </w:p>
    <w:p>
      <w:pPr>
        <w:pStyle w:val="Heading2"/>
      </w:pPr>
      <w:r>
        <w:rPr>
          <w:rFonts w:ascii="Arial" w:hAnsi="Arial"/>
          <w:b/>
          <w:color w:val="1F4E79"/>
          <w:sz w:val="25"/>
        </w:rPr>
        <w:t>2.4 Group Activity and Collaboration; Gaze</w:t>
      </w:r>
    </w:p>
    <w:p>
      <w:pPr>
        <w:spacing w:after="120" w:line="293" w:lineRule="auto"/>
        <w:jc w:val="both"/>
      </w:pPr>
      <w:r>
        <w:rPr>
          <w:rFonts w:ascii="Arial" w:hAnsi="Arial"/>
          <w:b w:val="0"/>
          <w:i w:val="0"/>
          <w:sz w:val="22"/>
        </w:rPr>
        <w:t>Collaboration relates to the group-activity-recognition literature, where interactions are inferred from the relative state and motion of people rather than from any one person’s appearance. A recurring, robust cue is gaze — mutual gaze and shared visual attention are strong indicators that people are interacting toward a common focus. Because per-frame gaze from facial landmarks proved unreliable in our environment, we estimate head pose (InsightFace / SixDRepNet) and derive coarse gaze features such as mutual gaze and shared downward attention.</w:t>
      </w:r>
    </w:p>
    <w:p>
      <w:pPr>
        <w:pStyle w:val="Heading2"/>
      </w:pPr>
      <w:r>
        <w:rPr>
          <w:rFonts w:ascii="Arial" w:hAnsi="Arial"/>
          <w:b/>
          <w:color w:val="1F4E79"/>
          <w:sz w:val="25"/>
        </w:rPr>
        <w:t>2.5 Reference Baseline and the Key Insight</w:t>
      </w:r>
    </w:p>
    <w:p>
      <w:pPr>
        <w:spacing w:after="120" w:line="293" w:lineRule="auto"/>
        <w:jc w:val="both"/>
      </w:pPr>
      <w:r>
        <w:rPr>
          <w:rFonts w:ascii="Arial" w:hAnsi="Arial"/>
          <w:b w:val="0"/>
          <w:i w:val="0"/>
          <w:sz w:val="22"/>
        </w:rPr>
        <w:t>Our initial milestone reproduced a Swin-Transformer image classifier on a gaze dataset with a very high reported accuracy. Studying it surfaced the project’s central insight: engagement and collaboration are different problems — “more people ≠ collaboration”, and collaboration is derived from interaction signals, not from a single static image label. This reframing moved the project from a single four-class image classifier to a two-track system: a temporal engagement model and a separate, signal-based group-collaboration model.</w:t>
      </w:r>
    </w:p>
    <w:p>
      <w:pPr>
        <w:pStyle w:val="Heading2"/>
      </w:pPr>
      <w:r>
        <w:rPr>
          <w:rFonts w:ascii="Arial" w:hAnsi="Arial"/>
          <w:b/>
          <w:color w:val="1F4E79"/>
          <w:sz w:val="25"/>
        </w:rPr>
        <w:t>2.6 Detection and Tracking</w:t>
      </w:r>
    </w:p>
    <w:p>
      <w:pPr>
        <w:spacing w:after="120" w:line="293" w:lineRule="auto"/>
        <w:jc w:val="both"/>
      </w:pPr>
      <w:r>
        <w:rPr>
          <w:rFonts w:ascii="Arial" w:hAnsi="Arial"/>
          <w:b w:val="0"/>
          <w:i w:val="0"/>
          <w:sz w:val="22"/>
        </w:rPr>
        <w:t>To analyse every student independently, the system must detect all persons (including occluded and back-of-head cases) and keep a stable identity per student across frames. We use YOLOv8n for detection and ByteTrack for multi-object tracking, which together provide the persistent IDs needed to assemble a temporal clip per student.</w:t>
      </w:r>
    </w:p>
    <w:p>
      <w:r>
        <w:br w:type="page"/>
      </w:r>
    </w:p>
    <w:p>
      <w:pPr>
        <w:pStyle w:val="Heading1"/>
      </w:pPr>
      <w:r>
        <w:rPr>
          <w:rFonts w:ascii="Arial" w:hAnsi="Arial"/>
          <w:b/>
          <w:color w:val="1F4E79"/>
          <w:sz w:val="30"/>
        </w:rPr>
        <w:t>Chapter 3  ·  System Analysis and Requirements</w:t>
      </w:r>
    </w:p>
    <w:p>
      <w:pPr>
        <w:pStyle w:val="Heading2"/>
      </w:pPr>
      <w:r>
        <w:rPr>
          <w:rFonts w:ascii="Arial" w:hAnsi="Arial"/>
          <w:b/>
          <w:color w:val="1F4E79"/>
          <w:sz w:val="25"/>
        </w:rPr>
        <w:t>3.1 Existing System and Limitations</w:t>
      </w:r>
    </w:p>
    <w:p>
      <w:pPr>
        <w:spacing w:after="120" w:line="293" w:lineRule="auto"/>
        <w:jc w:val="both"/>
      </w:pPr>
      <w:r>
        <w:rPr>
          <w:rFonts w:ascii="Arial" w:hAnsi="Arial"/>
          <w:b w:val="0"/>
          <w:i w:val="0"/>
          <w:sz w:val="22"/>
        </w:rPr>
        <w:t>Existing practice relies on manual observation and surveys, or on image classifiers that output a single label for a whole frame. These cannot give per-student, per-moment engagement, do not distinguish collaboration from mere co-location, and — when benchmarked with leaky splits — report accuracies that do not hold on new classrooms.</w:t>
      </w:r>
    </w:p>
    <w:p>
      <w:pPr>
        <w:pStyle w:val="Heading2"/>
      </w:pPr>
      <w:r>
        <w:rPr>
          <w:rFonts w:ascii="Arial" w:hAnsi="Arial"/>
          <w:b/>
          <w:color w:val="1F4E79"/>
          <w:sz w:val="25"/>
        </w:rPr>
        <w:t>3.2 Proposed System</w:t>
      </w:r>
    </w:p>
    <w:p>
      <w:pPr>
        <w:spacing w:after="120" w:line="293" w:lineRule="auto"/>
        <w:jc w:val="both"/>
      </w:pPr>
      <w:r>
        <w:rPr>
          <w:rFonts w:ascii="Arial" w:hAnsi="Arial"/>
          <w:b w:val="0"/>
          <w:i w:val="0"/>
          <w:sz w:val="22"/>
        </w:rPr>
        <w:t>The proposed system detects and tracks each student, predicts per-student engagement from an 8-frame Swin temporal model, and computes a session-level collaboration verdict from relational and gaze signals. All results are surfaced through EduLens. The design goal is real-world generalisation under honest evaluation, not a maximal benchmark number.</w:t>
      </w:r>
    </w:p>
    <w:p>
      <w:pPr>
        <w:pStyle w:val="Heading2"/>
      </w:pPr>
      <w:r>
        <w:rPr>
          <w:rFonts w:ascii="Arial" w:hAnsi="Arial"/>
          <w:b/>
          <w:color w:val="1F4E79"/>
          <w:sz w:val="25"/>
        </w:rPr>
        <w:t>3.3 Functional Requirements (summary)</w:t>
      </w:r>
    </w:p>
    <w:p>
      <w:pPr>
        <w:spacing w:after="120" w:line="293" w:lineRule="auto"/>
        <w:jc w:val="both"/>
      </w:pPr>
      <w:r>
        <w:rPr>
          <w:rFonts w:ascii="Arial" w:hAnsi="Arial"/>
          <w:b w:val="0"/>
          <w:i w:val="0"/>
          <w:sz w:val="22"/>
        </w:rPr>
        <w:t>Detect and track all students (FR-1, FR-2); predict per-student engagement over time (FR-3 to FR-5); compute a session collaboration verdict and score (FR-6 to FR-8); present analytics, alerts, an interaction graph, a copilot, reports and role-based dashboards (FR-9 to FR-14). The complete list is given in the SRS.</w:t>
      </w:r>
    </w:p>
    <w:p>
      <w:pPr>
        <w:pStyle w:val="Heading2"/>
      </w:pPr>
      <w:r>
        <w:rPr>
          <w:rFonts w:ascii="Arial" w:hAnsi="Arial"/>
          <w:b/>
          <w:color w:val="1F4E79"/>
          <w:sz w:val="25"/>
        </w:rPr>
        <w:t>3.4 Non-Functional Requirements (summary)</w:t>
      </w:r>
    </w:p>
    <w:p>
      <w:pPr>
        <w:spacing w:after="120" w:line="293" w:lineRule="auto"/>
        <w:jc w:val="both"/>
      </w:pPr>
      <w:r>
        <w:rPr>
          <w:rFonts w:ascii="Arial" w:hAnsi="Arial"/>
          <w:b w:val="0"/>
          <w:i w:val="0"/>
          <w:sz w:val="22"/>
        </w:rPr>
        <w:t>Bounded analysis time on CPU; honest, leakage-free accuracy reporting; privacy by design (no facial identification); reliability, usability, scalability and robustness to lighting, pose and occlusion.</w:t>
      </w:r>
    </w:p>
    <w:p>
      <w:pPr>
        <w:pStyle w:val="Heading2"/>
      </w:pPr>
      <w:r>
        <w:rPr>
          <w:rFonts w:ascii="Arial" w:hAnsi="Arial"/>
          <w:b/>
          <w:color w:val="1F4E79"/>
          <w:sz w:val="25"/>
        </w:rPr>
        <w:t>3.5 Feasibility Study</w:t>
      </w:r>
    </w:p>
    <w:p>
      <w:pPr>
        <w:pStyle w:val="ListBullet"/>
        <w:spacing w:after="60"/>
      </w:pPr>
      <w:r>
        <w:rPr>
          <w:rFonts w:ascii="Arial" w:hAnsi="Arial"/>
          <w:b/>
          <w:color w:val="1F4E79"/>
          <w:sz w:val="22"/>
        </w:rPr>
        <w:t xml:space="preserve">Technical — </w:t>
      </w:r>
      <w:r>
        <w:rPr>
          <w:rFonts w:ascii="Arial" w:hAnsi="Arial"/>
          <w:sz w:val="22"/>
        </w:rPr>
        <w:t>feasible with open tools (PyTorch, Swin, YOLOv8, ByteTrack, FastAPI, Next.js) and runs on CPU.</w:t>
      </w:r>
    </w:p>
    <w:p>
      <w:pPr>
        <w:pStyle w:val="ListBullet"/>
        <w:spacing w:after="60"/>
      </w:pPr>
      <w:r>
        <w:rPr>
          <w:rFonts w:ascii="Arial" w:hAnsi="Arial"/>
          <w:b/>
          <w:color w:val="1F4E79"/>
          <w:sz w:val="22"/>
        </w:rPr>
        <w:t xml:space="preserve">Operational — </w:t>
      </w:r>
      <w:r>
        <w:rPr>
          <w:rFonts w:ascii="Arial" w:hAnsi="Arial"/>
          <w:sz w:val="22"/>
        </w:rPr>
        <w:t>a teacher uploads a video and reads a dashboard; no specialist skill is required.</w:t>
      </w:r>
    </w:p>
    <w:p>
      <w:pPr>
        <w:pStyle w:val="ListBullet"/>
        <w:spacing w:after="60"/>
      </w:pPr>
      <w:r>
        <w:rPr>
          <w:rFonts w:ascii="Arial" w:hAnsi="Arial"/>
          <w:b/>
          <w:color w:val="1F4E79"/>
          <w:sz w:val="22"/>
        </w:rPr>
        <w:t xml:space="preserve">Economic — </w:t>
      </w:r>
      <w:r>
        <w:rPr>
          <w:rFonts w:ascii="Arial" w:hAnsi="Arial"/>
          <w:sz w:val="22"/>
        </w:rPr>
        <w:t>all components are open-source; no licensing cost.</w:t>
      </w:r>
    </w:p>
    <w:p>
      <w:pPr>
        <w:pStyle w:val="Heading2"/>
      </w:pPr>
      <w:r>
        <w:rPr>
          <w:rFonts w:ascii="Arial" w:hAnsi="Arial"/>
          <w:b/>
          <w:color w:val="1F4E79"/>
          <w:sz w:val="25"/>
        </w:rPr>
        <w:t>3.6 Hardware and Software Requirements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1F4E79"/>
          </w:tcPr>
          <w:p>
            <w:r/>
            <w:r>
              <w:rPr>
                <w:rFonts w:ascii="Arial" w:hAnsi="Arial"/>
                <w:b/>
                <w:color w:val="FFFFFF"/>
                <w:sz w:val="20"/>
              </w:rPr>
              <w:t>Component</w:t>
            </w:r>
          </w:p>
        </w:tc>
        <w:tc>
          <w:tcPr>
            <w:tcW w:type="dxa" w:w="6480"/>
            <w:shd w:val="clear" w:fill="1F4E79"/>
          </w:tcPr>
          <w:p>
            <w:r/>
            <w:r>
              <w:rPr>
                <w:rFonts w:ascii="Arial" w:hAnsi="Arial"/>
                <w:b/>
                <w:color w:val="FFFFFF"/>
                <w:sz w:val="20"/>
              </w:rPr>
              <w:t>Requirement</w:t>
            </w:r>
          </w:p>
        </w:tc>
      </w:tr>
      <w:tr>
        <w:tc>
          <w:tcPr>
            <w:tcW w:type="dxa" w:w="2880"/>
          </w:tcPr>
          <w:p>
            <w:r/>
            <w:r>
              <w:rPr>
                <w:rFonts w:ascii="Arial" w:hAnsi="Arial"/>
                <w:sz w:val="20"/>
              </w:rPr>
              <w:t>Processor</w:t>
            </w:r>
          </w:p>
        </w:tc>
        <w:tc>
          <w:tcPr>
            <w:tcW w:type="dxa" w:w="6480"/>
          </w:tcPr>
          <w:p>
            <w:r/>
            <w:r>
              <w:rPr>
                <w:rFonts w:ascii="Arial" w:hAnsi="Arial"/>
                <w:sz w:val="20"/>
              </w:rPr>
              <w:t>x86-64 CPU (CUDA GPU strongly recommended for speed)</w:t>
            </w:r>
          </w:p>
        </w:tc>
      </w:tr>
      <w:tr>
        <w:tc>
          <w:tcPr>
            <w:tcW w:type="dxa" w:w="2880"/>
            <w:shd w:val="clear" w:fill="EAF0F7"/>
          </w:tcPr>
          <w:p>
            <w:r/>
            <w:r>
              <w:rPr>
                <w:rFonts w:ascii="Arial" w:hAnsi="Arial"/>
                <w:sz w:val="20"/>
              </w:rPr>
              <w:t>Memory</w:t>
            </w:r>
          </w:p>
        </w:tc>
        <w:tc>
          <w:tcPr>
            <w:tcW w:type="dxa" w:w="6480"/>
            <w:shd w:val="clear" w:fill="EAF0F7"/>
          </w:tcPr>
          <w:p>
            <w:r/>
            <w:r>
              <w:rPr>
                <w:rFonts w:ascii="Arial" w:hAnsi="Arial"/>
                <w:sz w:val="20"/>
              </w:rPr>
              <w:t>8 GB RAM minimum (16 GB recommended)</w:t>
            </w:r>
          </w:p>
        </w:tc>
      </w:tr>
      <w:tr>
        <w:tc>
          <w:tcPr>
            <w:tcW w:type="dxa" w:w="2880"/>
          </w:tcPr>
          <w:p>
            <w:r/>
            <w:r>
              <w:rPr>
                <w:rFonts w:ascii="Arial" w:hAnsi="Arial"/>
                <w:sz w:val="20"/>
              </w:rPr>
              <w:t>ML stack</w:t>
            </w:r>
          </w:p>
        </w:tc>
        <w:tc>
          <w:tcPr>
            <w:tcW w:type="dxa" w:w="6480"/>
          </w:tcPr>
          <w:p>
            <w:r/>
            <w:r>
              <w:rPr>
                <w:rFonts w:ascii="Arial" w:hAnsi="Arial"/>
                <w:sz w:val="20"/>
              </w:rPr>
              <w:t>Python 3.10+, PyTorch, timm, Ultralytics YOLOv8, ByteTrack, OpenCV, NumPy</w:t>
            </w:r>
          </w:p>
        </w:tc>
      </w:tr>
      <w:tr>
        <w:tc>
          <w:tcPr>
            <w:tcW w:type="dxa" w:w="2880"/>
            <w:shd w:val="clear" w:fill="EAF0F7"/>
          </w:tcPr>
          <w:p>
            <w:r/>
            <w:r>
              <w:rPr>
                <w:rFonts w:ascii="Arial" w:hAnsi="Arial"/>
                <w:sz w:val="20"/>
              </w:rPr>
              <w:t>Backend</w:t>
            </w:r>
          </w:p>
        </w:tc>
        <w:tc>
          <w:tcPr>
            <w:tcW w:type="dxa" w:w="6480"/>
            <w:shd w:val="clear" w:fill="EAF0F7"/>
          </w:tcPr>
          <w:p>
            <w:r/>
            <w:r>
              <w:rPr>
                <w:rFonts w:ascii="Arial" w:hAnsi="Arial"/>
                <w:sz w:val="20"/>
              </w:rPr>
              <w:t>FastAPI, Uvicorn, SQLite (WAL)</w:t>
            </w:r>
          </w:p>
        </w:tc>
      </w:tr>
      <w:tr>
        <w:tc>
          <w:tcPr>
            <w:tcW w:type="dxa" w:w="2880"/>
          </w:tcPr>
          <w:p>
            <w:r/>
            <w:r>
              <w:rPr>
                <w:rFonts w:ascii="Arial" w:hAnsi="Arial"/>
                <w:sz w:val="20"/>
              </w:rPr>
              <w:t>Frontend</w:t>
            </w:r>
          </w:p>
        </w:tc>
        <w:tc>
          <w:tcPr>
            <w:tcW w:type="dxa" w:w="6480"/>
          </w:tcPr>
          <w:p>
            <w:r/>
            <w:r>
              <w:rPr>
                <w:rFonts w:ascii="Arial" w:hAnsi="Arial"/>
                <w:sz w:val="20"/>
              </w:rPr>
              <w:t>Next.js 14, TailwindCSS, modern browser</w:t>
            </w:r>
          </w:p>
        </w:tc>
      </w:tr>
    </w:tbl>
    <w:p>
      <w:r>
        <w:br w:type="page"/>
      </w:r>
    </w:p>
    <w:p>
      <w:pPr>
        <w:pStyle w:val="Heading1"/>
      </w:pPr>
      <w:r>
        <w:rPr>
          <w:rFonts w:ascii="Arial" w:hAnsi="Arial"/>
          <w:b/>
          <w:color w:val="1F4E79"/>
          <w:sz w:val="30"/>
        </w:rPr>
        <w:t>Chapter 4  ·  System Design</w:t>
      </w:r>
    </w:p>
    <w:p>
      <w:pPr>
        <w:pStyle w:val="Heading2"/>
      </w:pPr>
      <w:r>
        <w:rPr>
          <w:rFonts w:ascii="Arial" w:hAnsi="Arial"/>
          <w:b/>
          <w:color w:val="1F4E79"/>
          <w:sz w:val="25"/>
        </w:rPr>
        <w:t>4.1 Architecture Overview</w:t>
      </w:r>
    </w:p>
    <w:p>
      <w:pPr>
        <w:spacing w:after="120" w:line="293" w:lineRule="auto"/>
        <w:jc w:val="both"/>
      </w:pPr>
      <w:r>
        <w:rPr>
          <w:rFonts w:ascii="Arial" w:hAnsi="Arial"/>
          <w:b w:val="0"/>
          <w:i w:val="0"/>
          <w:sz w:val="22"/>
        </w:rPr>
        <w:t>The system is a hybrid pipeline. Each video frame is passed through YOLOv8n + ByteTrack to detect and track students; each tracked student is cropped and fed, eight frames at a time, through the Swin-Tiny backbone and the Temporal Transformer. The resulting clip feature drives two heads: an engagement head (per student) and, after conversion to relational + gaze signals, a group-collaboration head (per session). EduLens consumes both outputs.</w:t>
      </w:r>
    </w:p>
    <w:p>
      <w:pPr>
        <w:jc w:val="center"/>
      </w:pPr>
      <w:r>
        <w:drawing>
          <wp:inline xmlns:a="http://schemas.openxmlformats.org/drawingml/2006/main" xmlns:pic="http://schemas.openxmlformats.org/drawingml/2006/picture">
            <wp:extent cx="5669280" cy="2680623"/>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5669280" cy="2680623"/>
                    </a:xfrm>
                    <a:prstGeom prst="rect"/>
                  </pic:spPr>
                </pic:pic>
              </a:graphicData>
            </a:graphic>
          </wp:inline>
        </w:drawing>
      </w:r>
    </w:p>
    <w:p>
      <w:pPr>
        <w:spacing w:after="200"/>
        <w:jc w:val="center"/>
      </w:pPr>
      <w:r>
        <w:rPr>
          <w:rFonts w:ascii="Arial" w:hAnsi="Arial"/>
          <w:b w:val="0"/>
          <w:i/>
          <w:color w:val="555555"/>
          <w:sz w:val="19"/>
        </w:rPr>
        <w:t>Figure 4.1 — Learning in Focus system pipeline.</w:t>
      </w:r>
    </w:p>
    <w:p>
      <w:pPr>
        <w:pStyle w:val="Heading2"/>
      </w:pPr>
      <w:r>
        <w:rPr>
          <w:rFonts w:ascii="Arial" w:hAnsi="Arial"/>
          <w:b/>
          <w:color w:val="1F4E79"/>
          <w:sz w:val="25"/>
        </w:rPr>
        <w:t>4.2 Engagement Pipeline</w:t>
      </w:r>
    </w:p>
    <w:p>
      <w:pPr>
        <w:spacing w:after="120" w:line="293" w:lineRule="auto"/>
        <w:jc w:val="both"/>
      </w:pPr>
      <w:r>
        <w:rPr>
          <w:rFonts w:ascii="Arial" w:hAnsi="Arial"/>
          <w:b w:val="0"/>
          <w:i w:val="0"/>
          <w:sz w:val="22"/>
        </w:rPr>
        <w:t>For each tracked student the upper body is cropped, resized to 224×224 and normalised. A rolling buffer assembles eight frames; the Swin-Tiny backbone produces a 768-dimensional feature per frame, the Temporal Transformer aggregates the eight features into one clip feature, and a linear head outputs P(Engaged). A short warm-up with clip padding ensures every student receives a real prediction quickly, and an EMA-smoothed, windowed decision prevents momentary glances from flipping the label.</w:t>
      </w:r>
    </w:p>
    <w:p>
      <w:pPr>
        <w:pStyle w:val="Heading2"/>
      </w:pPr>
      <w:r>
        <w:rPr>
          <w:rFonts w:ascii="Arial" w:hAnsi="Arial"/>
          <w:b/>
          <w:color w:val="1F4E79"/>
          <w:sz w:val="25"/>
        </w:rPr>
        <w:t>4.3 Collaboration Pipeline</w:t>
      </w:r>
    </w:p>
    <w:p>
      <w:pPr>
        <w:spacing w:after="120" w:line="293" w:lineRule="auto"/>
        <w:jc w:val="both"/>
      </w:pPr>
      <w:r>
        <w:rPr>
          <w:rFonts w:ascii="Arial" w:hAnsi="Arial"/>
          <w:b w:val="0"/>
          <w:i w:val="0"/>
          <w:sz w:val="22"/>
        </w:rPr>
        <w:t>The same 768-dimensional per-student features feed the collaboration track. For every pair of students, six relational signals are computed (state cosine, state closeness, trajectory cosine, dynamic correlation, turn-taking, joint activity), together with four pooled-feature scalars. These are aggregated across all pairs into a 20-dimensional session vector and scored by a small, regularised logistic head that returns a single COLLABORATIVE / NOT COLLABORATIVE verdict and probability. Optionally, six head-pose gaze features (mutual gaze, one-way gaze, gaze convergence, joint-down, yaw-sync, gaze turn-taking) are added, which raises accuracy.</w:t>
      </w:r>
    </w:p>
    <w:p>
      <w:pPr>
        <w:pStyle w:val="Heading2"/>
      </w:pPr>
      <w:r>
        <w:rPr>
          <w:rFonts w:ascii="Arial" w:hAnsi="Arial"/>
          <w:b/>
          <w:color w:val="1F4E79"/>
          <w:sz w:val="25"/>
        </w:rPr>
        <w:t>4.4 EduLens Application Architecture</w:t>
      </w:r>
    </w:p>
    <w:p>
      <w:pPr>
        <w:spacing w:after="120" w:line="293" w:lineRule="auto"/>
        <w:jc w:val="both"/>
      </w:pPr>
      <w:r>
        <w:rPr>
          <w:rFonts w:ascii="Arial" w:hAnsi="Arial"/>
          <w:b w:val="0"/>
          <w:i w:val="0"/>
          <w:sz w:val="22"/>
        </w:rPr>
        <w:t>EduLens has three tiers: a Next.js front end (Live Monitor, Dashboard, Alerts, Copilot, Privacy), a FastAPI backend exposing video-analysis, session, alert, report and copilot endpoints, and a Python inference service wrapping the trained weights. Sessions, alerts and reports are stored in SQLite. The front end overlays bounding boxes on the uploaded video and renders the timeline, Class Health Score and interaction graph from the analysis result.</w:t>
      </w:r>
    </w:p>
    <w:p>
      <w:pPr>
        <w:pStyle w:val="Heading2"/>
      </w:pPr>
      <w:r>
        <w:rPr>
          <w:rFonts w:ascii="Arial" w:hAnsi="Arial"/>
          <w:b/>
          <w:color w:val="1F4E79"/>
          <w:sz w:val="25"/>
        </w:rPr>
        <w:t>4.5 Module Description</w:t>
      </w:r>
    </w:p>
    <w:p>
      <w:pPr>
        <w:pStyle w:val="ListBullet"/>
        <w:spacing w:after="60"/>
      </w:pPr>
      <w:r>
        <w:rPr>
          <w:rFonts w:ascii="Arial" w:hAnsi="Arial"/>
          <w:b/>
          <w:color w:val="1F4E79"/>
          <w:sz w:val="22"/>
        </w:rPr>
        <w:t xml:space="preserve">data/  </w:t>
      </w:r>
      <w:r>
        <w:rPr>
          <w:rFonts w:ascii="Arial" w:hAnsi="Arial"/>
          <w:sz w:val="22"/>
        </w:rPr>
        <w:t>dataset building, clip extraction, collaboration pair construction and gaze feature builders.</w:t>
      </w:r>
    </w:p>
    <w:p>
      <w:pPr>
        <w:pStyle w:val="ListBullet"/>
        <w:spacing w:after="60"/>
      </w:pPr>
      <w:r>
        <w:rPr>
          <w:rFonts w:ascii="Arial" w:hAnsi="Arial"/>
          <w:b/>
          <w:color w:val="1F4E79"/>
          <w:sz w:val="22"/>
        </w:rPr>
        <w:t xml:space="preserve">models/  </w:t>
      </w:r>
      <w:r>
        <w:rPr>
          <w:rFonts w:ascii="Arial" w:hAnsi="Arial"/>
          <w:sz w:val="22"/>
        </w:rPr>
        <w:t>SwinClipModel — backbone, temporal transformer and classification head.</w:t>
      </w:r>
    </w:p>
    <w:p>
      <w:pPr>
        <w:pStyle w:val="ListBullet"/>
        <w:spacing w:after="60"/>
      </w:pPr>
      <w:r>
        <w:rPr>
          <w:rFonts w:ascii="Arial" w:hAnsi="Arial"/>
          <w:b/>
          <w:color w:val="1F4E79"/>
          <w:sz w:val="22"/>
        </w:rPr>
        <w:t xml:space="preserve">inference/  </w:t>
      </w:r>
      <w:r>
        <w:rPr>
          <w:rFonts w:ascii="Arial" w:hAnsi="Arial"/>
          <w:sz w:val="22"/>
        </w:rPr>
        <w:t>multi-person inference (YOLO+ByteTrack+Swin), engagement tracker pool and the group-collaboration head.</w:t>
      </w:r>
    </w:p>
    <w:p>
      <w:pPr>
        <w:pStyle w:val="ListBullet"/>
        <w:spacing w:after="60"/>
      </w:pPr>
      <w:r>
        <w:rPr>
          <w:rFonts w:ascii="Arial" w:hAnsi="Arial"/>
          <w:b/>
          <w:color w:val="1F4E79"/>
          <w:sz w:val="22"/>
        </w:rPr>
        <w:t xml:space="preserve">eval/  </w:t>
      </w:r>
      <w:r>
        <w:rPr>
          <w:rFonts w:ascii="Arial" w:hAnsi="Arial"/>
          <w:sz w:val="22"/>
        </w:rPr>
        <w:t>honest evaluation scripts — held-out engagement test, session bake-off and gaze verification.</w:t>
      </w:r>
    </w:p>
    <w:p>
      <w:pPr>
        <w:pStyle w:val="ListBullet"/>
        <w:spacing w:after="60"/>
      </w:pPr>
      <w:r>
        <w:rPr>
          <w:rFonts w:ascii="Arial" w:hAnsi="Arial"/>
          <w:b/>
          <w:color w:val="1F4E79"/>
          <w:sz w:val="22"/>
        </w:rPr>
        <w:t xml:space="preserve">backend/ &amp; frontend/  </w:t>
      </w:r>
      <w:r>
        <w:rPr>
          <w:rFonts w:ascii="Arial" w:hAnsi="Arial"/>
          <w:sz w:val="22"/>
        </w:rPr>
        <w:t>the FastAPI service and the Next.js EduLens application.</w:t>
      </w:r>
    </w:p>
    <w:p>
      <w:r>
        <w:br w:type="page"/>
      </w:r>
    </w:p>
    <w:p>
      <w:pPr>
        <w:pStyle w:val="Heading1"/>
      </w:pPr>
      <w:r>
        <w:rPr>
          <w:rFonts w:ascii="Arial" w:hAnsi="Arial"/>
          <w:b/>
          <w:color w:val="1F4E79"/>
          <w:sz w:val="30"/>
        </w:rPr>
        <w:t>Chapter 5  ·  Implementation</w:t>
      </w:r>
    </w:p>
    <w:p>
      <w:pPr>
        <w:pStyle w:val="Heading2"/>
      </w:pPr>
      <w:r>
        <w:rPr>
          <w:rFonts w:ascii="Arial" w:hAnsi="Arial"/>
          <w:b/>
          <w:color w:val="1F4E79"/>
          <w:sz w:val="25"/>
        </w:rPr>
        <w:t>5.1 Datasets</w:t>
      </w:r>
    </w:p>
    <w:p>
      <w:pPr>
        <w:spacing w:after="120" w:line="293" w:lineRule="auto"/>
        <w:jc w:val="both"/>
      </w:pPr>
      <w:r>
        <w:rPr>
          <w:rFonts w:ascii="Arial" w:hAnsi="Arial"/>
          <w:b w:val="0"/>
          <w:i w:val="0"/>
          <w:sz w:val="22"/>
        </w:rPr>
        <w:t>Engagement training uses the public DAiSEE corpus together with 28 self-recorded classroom videos, mapped to a binary Engaged / Not Engaged target. Collaboration uses 33 custom classroom videos yielding 883 unique student pairs, each labelled at the session level. Custom data was essential because no single public dataset captures both real-classroom engagement and collaboration.</w:t>
      </w:r>
    </w:p>
    <w:p>
      <w:pPr>
        <w:pStyle w:val="Heading2"/>
      </w:pPr>
      <w:r>
        <w:rPr>
          <w:rFonts w:ascii="Arial" w:hAnsi="Arial"/>
          <w:b/>
          <w:color w:val="1F4E79"/>
          <w:sz w:val="25"/>
        </w:rPr>
        <w:t>5.2 Preprocessing and Augmentation</w:t>
      </w:r>
    </w:p>
    <w:p>
      <w:pPr>
        <w:spacing w:after="120" w:line="293" w:lineRule="auto"/>
        <w:jc w:val="both"/>
      </w:pPr>
      <w:r>
        <w:rPr>
          <w:rFonts w:ascii="Arial" w:hAnsi="Arial"/>
          <w:b w:val="0"/>
          <w:i w:val="0"/>
          <w:sz w:val="22"/>
        </w:rPr>
        <w:t>Frames are resized and centre-cropped to 224×224 and normalised with ImageNet statistics. Training augmentations include random resized crop, horizontal flip, mild rotation and colour jitter. Class imbalance is handled with class-weighted loss rather than aggressive oversampling, to avoid optimistic bias.</w:t>
      </w:r>
    </w:p>
    <w:p>
      <w:pPr>
        <w:pStyle w:val="Heading2"/>
      </w:pPr>
      <w:r>
        <w:rPr>
          <w:rFonts w:ascii="Arial" w:hAnsi="Arial"/>
          <w:b/>
          <w:color w:val="1F4E79"/>
          <w:sz w:val="25"/>
        </w:rPr>
        <w:t>5.3 Model Implementation</w:t>
      </w:r>
    </w:p>
    <w:p>
      <w:pPr>
        <w:spacing w:after="120" w:line="293" w:lineRule="auto"/>
        <w:jc w:val="both"/>
      </w:pPr>
      <w:r>
        <w:rPr>
          <w:rFonts w:ascii="Arial" w:hAnsi="Arial"/>
          <w:b w:val="0"/>
          <w:i w:val="0"/>
          <w:sz w:val="22"/>
        </w:rPr>
        <w:t>SwinClipModel is composed of three parts: a Swin-Tiny backbone (per-frame 768-d features), a two-layer, eight-head Temporal Transformer (clip aggregation), and a linear classification head. For the collaboration phase the backbone and temporal model are frozen and reused as a feature extractor, so the engagement and collaboration tracks share one representation.</w:t>
      </w:r>
    </w:p>
    <w:p>
      <w:pPr>
        <w:pStyle w:val="Heading2"/>
      </w:pPr>
      <w:r>
        <w:rPr>
          <w:rFonts w:ascii="Arial" w:hAnsi="Arial"/>
          <w:b/>
          <w:color w:val="1F4E79"/>
          <w:sz w:val="25"/>
        </w:rPr>
        <w:t>5.4 Training Strategy</w:t>
      </w:r>
    </w:p>
    <w:p>
      <w:pPr>
        <w:spacing w:after="120" w:line="293" w:lineRule="auto"/>
        <w:jc w:val="both"/>
      </w:pPr>
      <w:r>
        <w:rPr>
          <w:rFonts w:ascii="Arial" w:hAnsi="Arial"/>
          <w:b w:val="0"/>
          <w:i w:val="0"/>
          <w:sz w:val="22"/>
        </w:rPr>
        <w:t>A three-phase schedule is used: warm-up of the head, partial unfreezing of the backbone with a low learning rate, and fine-tuning of the temporal model. The decision threshold and the stopping epoch are selected on a validation set; crucially, the figure we report as the headline is re-measured on a held-out test set so that this selection does not inflate the claim.</w:t>
      </w:r>
    </w:p>
    <w:p>
      <w:pPr>
        <w:pStyle w:val="Heading2"/>
      </w:pPr>
      <w:r>
        <w:rPr>
          <w:rFonts w:ascii="Arial" w:hAnsi="Arial"/>
          <w:b/>
          <w:color w:val="1F4E79"/>
          <w:sz w:val="25"/>
        </w:rPr>
        <w:t>5.5 Collaboration Feature Engineering</w:t>
      </w:r>
    </w:p>
    <w:p>
      <w:pPr>
        <w:spacing w:after="120" w:line="293" w:lineRule="auto"/>
        <w:jc w:val="both"/>
      </w:pPr>
      <w:r>
        <w:rPr>
          <w:rFonts w:ascii="Arial" w:hAnsi="Arial"/>
          <w:b w:val="0"/>
          <w:i w:val="0"/>
          <w:sz w:val="22"/>
        </w:rPr>
        <w:t>Pair features are computed exactly the same way at train and deploy time, eliminating train/serve divergence. The six relational signals plus four pooled-feature scalars are aggregated (mean and standard deviation across pairs) into a 20-dimensional session vector. A small L2-regularised logistic regression — deliberately tiny because only ~30 sessions exist — is the group read-out; a heavier head would memorise sessions rather than generalise.</w:t>
      </w:r>
    </w:p>
    <w:p>
      <w:pPr>
        <w:pStyle w:val="Heading2"/>
      </w:pPr>
      <w:r>
        <w:rPr>
          <w:rFonts w:ascii="Arial" w:hAnsi="Arial"/>
          <w:b/>
          <w:color w:val="1F4E79"/>
          <w:sz w:val="25"/>
        </w:rPr>
        <w:t>5.6 Gaze Extraction</w:t>
      </w:r>
    </w:p>
    <w:p>
      <w:pPr>
        <w:spacing w:after="120" w:line="293" w:lineRule="auto"/>
        <w:jc w:val="both"/>
      </w:pPr>
      <w:r>
        <w:rPr>
          <w:rFonts w:ascii="Arial" w:hAnsi="Arial"/>
          <w:b w:val="0"/>
          <w:i w:val="0"/>
          <w:sz w:val="22"/>
        </w:rPr>
        <w:t>Because facial-landmark gaze failed on the available Python/Colab environment, head pose is estimated with InsightFace / SixDRepNet and converted into six coarse gaze features. Adding these to the session vector is what lifts collaboration accuracy from 0.667 to 0.764.</w:t>
      </w:r>
    </w:p>
    <w:p>
      <w:pPr>
        <w:pStyle w:val="Heading2"/>
      </w:pPr>
      <w:r>
        <w:rPr>
          <w:rFonts w:ascii="Arial" w:hAnsi="Arial"/>
          <w:b/>
          <w:color w:val="1F4E79"/>
          <w:sz w:val="25"/>
        </w:rPr>
        <w:t>5.7 Honest Evaluation Methodology</w:t>
      </w:r>
    </w:p>
    <w:p>
      <w:pPr>
        <w:spacing w:after="120" w:line="293" w:lineRule="auto"/>
        <w:jc w:val="both"/>
      </w:pPr>
      <w:r>
        <w:rPr>
          <w:rFonts w:ascii="Arial" w:hAnsi="Arial"/>
          <w:b w:val="0"/>
          <w:i w:val="0"/>
          <w:sz w:val="22"/>
        </w:rPr>
        <w:t>This is the methodological core of the project. Engagement is evaluated on five classrooms that share no video, clip or person with training. Collaboration is evaluated with Leave-One-Video-Out, so every test session is from an unseen room. Each claim is checked against a label-shuffle floor and, for collaboration, against a coverage-only confound and a bootstrap confidence interval. Where a signal failed this scrutiny — within-scene pair-level collaboration — it is reported as a negative result rather than quietly dropped.</w:t>
      </w:r>
    </w:p>
    <w:p>
      <w:pPr>
        <w:pStyle w:val="Heading2"/>
      </w:pPr>
      <w:r>
        <w:rPr>
          <w:rFonts w:ascii="Arial" w:hAnsi="Arial"/>
          <w:b/>
          <w:color w:val="1F4E79"/>
          <w:sz w:val="25"/>
        </w:rPr>
        <w:t>5.8 EduLens Implementation</w:t>
      </w:r>
    </w:p>
    <w:p>
      <w:pPr>
        <w:spacing w:after="120" w:line="293" w:lineRule="auto"/>
        <w:jc w:val="both"/>
      </w:pPr>
      <w:r>
        <w:rPr>
          <w:rFonts w:ascii="Arial" w:hAnsi="Arial"/>
          <w:b w:val="0"/>
          <w:i w:val="0"/>
          <w:sz w:val="22"/>
        </w:rPr>
        <w:t>The backend inference service runs the YOLO+ByteTrack+Swin pipeline, exposes the 768-d clip feature so the real group-collaboration head can be used live (rather than a proxy), and bounds CPU time with adaptive frame sampling. The front end restores sessions across navigation, overlays per-student boxes coloured by engagement, and renders the dashboard, alerts, interaction graph, timeline replay, AI Copilot and PDF export. Students are shown as anonymous IDs (ST-01, ST-02, …) — no faces are stored.</w:t>
      </w:r>
    </w:p>
    <w:p>
      <w:pPr>
        <w:pStyle w:val="Heading2"/>
      </w:pPr>
      <w:r>
        <w:rPr>
          <w:rFonts w:ascii="Arial" w:hAnsi="Arial"/>
          <w:b/>
          <w:color w:val="1F4E79"/>
          <w:sz w:val="25"/>
        </w:rPr>
        <w:t>5.9 Tools and Technologies</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shd w:val="clear" w:fill="1F4E79"/>
          </w:tcPr>
          <w:p>
            <w:r/>
            <w:r>
              <w:rPr>
                <w:rFonts w:ascii="Arial" w:hAnsi="Arial"/>
                <w:b/>
                <w:color w:val="FFFFFF"/>
                <w:sz w:val="20"/>
              </w:rPr>
              <w:t>Layer</w:t>
            </w:r>
          </w:p>
        </w:tc>
        <w:tc>
          <w:tcPr>
            <w:tcW w:type="dxa" w:w="7056"/>
            <w:shd w:val="clear" w:fill="1F4E79"/>
          </w:tcPr>
          <w:p>
            <w:r/>
            <w:r>
              <w:rPr>
                <w:rFonts w:ascii="Arial" w:hAnsi="Arial"/>
                <w:b/>
                <w:color w:val="FFFFFF"/>
                <w:sz w:val="20"/>
              </w:rPr>
              <w:t>Technologies</w:t>
            </w:r>
          </w:p>
        </w:tc>
      </w:tr>
      <w:tr>
        <w:tc>
          <w:tcPr>
            <w:tcW w:type="dxa" w:w="2304"/>
          </w:tcPr>
          <w:p>
            <w:r/>
            <w:r>
              <w:rPr>
                <w:rFonts w:ascii="Arial" w:hAnsi="Arial"/>
                <w:sz w:val="20"/>
              </w:rPr>
              <w:t>Models</w:t>
            </w:r>
          </w:p>
        </w:tc>
        <w:tc>
          <w:tcPr>
            <w:tcW w:type="dxa" w:w="7056"/>
          </w:tcPr>
          <w:p>
            <w:r/>
            <w:r>
              <w:rPr>
                <w:rFonts w:ascii="Arial" w:hAnsi="Arial"/>
                <w:sz w:val="20"/>
              </w:rPr>
              <w:t>PyTorch, timm (Swin-Tiny), Temporal Transformer</w:t>
            </w:r>
          </w:p>
        </w:tc>
      </w:tr>
      <w:tr>
        <w:tc>
          <w:tcPr>
            <w:tcW w:type="dxa" w:w="2304"/>
            <w:shd w:val="clear" w:fill="EAF0F7"/>
          </w:tcPr>
          <w:p>
            <w:r/>
            <w:r>
              <w:rPr>
                <w:rFonts w:ascii="Arial" w:hAnsi="Arial"/>
                <w:sz w:val="20"/>
              </w:rPr>
              <w:t>Vision</w:t>
            </w:r>
          </w:p>
        </w:tc>
        <w:tc>
          <w:tcPr>
            <w:tcW w:type="dxa" w:w="7056"/>
            <w:shd w:val="clear" w:fill="EAF0F7"/>
          </w:tcPr>
          <w:p>
            <w:r/>
            <w:r>
              <w:rPr>
                <w:rFonts w:ascii="Arial" w:hAnsi="Arial"/>
                <w:sz w:val="20"/>
              </w:rPr>
              <w:t>Ultralytics YOLOv8n, ByteTrack, OpenCV, InsightFace / SixDRepNet</w:t>
            </w:r>
          </w:p>
        </w:tc>
      </w:tr>
      <w:tr>
        <w:tc>
          <w:tcPr>
            <w:tcW w:type="dxa" w:w="2304"/>
          </w:tcPr>
          <w:p>
            <w:r/>
            <w:r>
              <w:rPr>
                <w:rFonts w:ascii="Arial" w:hAnsi="Arial"/>
                <w:sz w:val="20"/>
              </w:rPr>
              <w:t>Backend</w:t>
            </w:r>
          </w:p>
        </w:tc>
        <w:tc>
          <w:tcPr>
            <w:tcW w:type="dxa" w:w="7056"/>
          </w:tcPr>
          <w:p>
            <w:r/>
            <w:r>
              <w:rPr>
                <w:rFonts w:ascii="Arial" w:hAnsi="Arial"/>
                <w:sz w:val="20"/>
              </w:rPr>
              <w:t>FastAPI, Uvicorn, SQLite (WAL), NumPy</w:t>
            </w:r>
          </w:p>
        </w:tc>
      </w:tr>
      <w:tr>
        <w:tc>
          <w:tcPr>
            <w:tcW w:type="dxa" w:w="2304"/>
            <w:shd w:val="clear" w:fill="EAF0F7"/>
          </w:tcPr>
          <w:p>
            <w:r/>
            <w:r>
              <w:rPr>
                <w:rFonts w:ascii="Arial" w:hAnsi="Arial"/>
                <w:sz w:val="20"/>
              </w:rPr>
              <w:t>Frontend</w:t>
            </w:r>
          </w:p>
        </w:tc>
        <w:tc>
          <w:tcPr>
            <w:tcW w:type="dxa" w:w="7056"/>
            <w:shd w:val="clear" w:fill="EAF0F7"/>
          </w:tcPr>
          <w:p>
            <w:r/>
            <w:r>
              <w:rPr>
                <w:rFonts w:ascii="Arial" w:hAnsi="Arial"/>
                <w:sz w:val="20"/>
              </w:rPr>
              <w:t>Next.js 14, TailwindCSS, Framer Motion, Recharts / D3</w:t>
            </w:r>
          </w:p>
        </w:tc>
      </w:tr>
    </w:tbl>
    <w:p>
      <w:r>
        <w:br w:type="page"/>
      </w:r>
    </w:p>
    <w:p>
      <w:pPr>
        <w:pStyle w:val="Heading1"/>
      </w:pPr>
      <w:r>
        <w:rPr>
          <w:rFonts w:ascii="Arial" w:hAnsi="Arial"/>
          <w:b/>
          <w:color w:val="1F4E79"/>
          <w:sz w:val="30"/>
        </w:rPr>
        <w:t>Chapter 6  ·  Testing</w:t>
      </w:r>
    </w:p>
    <w:p>
      <w:pPr>
        <w:pStyle w:val="Heading2"/>
      </w:pPr>
      <w:r>
        <w:rPr>
          <w:rFonts w:ascii="Arial" w:hAnsi="Arial"/>
          <w:b/>
          <w:color w:val="1F4E79"/>
          <w:sz w:val="25"/>
        </w:rPr>
        <w:t>6.1 Testing Strategy</w:t>
      </w:r>
    </w:p>
    <w:p>
      <w:pPr>
        <w:spacing w:after="120" w:line="293" w:lineRule="auto"/>
        <w:jc w:val="both"/>
      </w:pPr>
      <w:r>
        <w:rPr>
          <w:rFonts w:ascii="Arial" w:hAnsi="Arial"/>
          <w:b w:val="0"/>
          <w:i w:val="0"/>
          <w:sz w:val="22"/>
        </w:rPr>
        <w:t>Testing spans two levels: model evaluation (does the science hold up on unseen data?) and application testing (does EduLens behave correctly?). Model tests emphasise leakage-free protocols and floors; application tests cover detection, labelling, analytics, alerts, navigation and reporting.</w:t>
      </w:r>
    </w:p>
    <w:p>
      <w:pPr>
        <w:pStyle w:val="Heading2"/>
      </w:pPr>
      <w:r>
        <w:rPr>
          <w:rFonts w:ascii="Arial" w:hAnsi="Arial"/>
          <w:b/>
          <w:color w:val="1F4E79"/>
          <w:sz w:val="25"/>
        </w:rPr>
        <w:t>6.2 Engagement Evaluation</w:t>
      </w:r>
    </w:p>
    <w:p>
      <w:pPr>
        <w:spacing w:after="120" w:line="293" w:lineRule="auto"/>
        <w:jc w:val="both"/>
      </w:pPr>
      <w:r>
        <w:rPr>
          <w:rFonts w:ascii="Arial" w:hAnsi="Arial"/>
          <w:b w:val="0"/>
          <w:i w:val="0"/>
          <w:sz w:val="22"/>
        </w:rPr>
        <w:t>On the five held-out classrooms, the engagement model achieves macro-F1 0.7344 and 76.7% accuracy, versus an optimistic validation macro-F1 of about 0.90. The gap is expected and is exactly why the held-out figure is the one we report. The weakest aspect is Not-Engaged recall (≈0.53), i.e. some disengaged moments are missed — a useful, honest limitation to state.</w:t>
      </w:r>
    </w:p>
    <w:p>
      <w:pPr>
        <w:pStyle w:val="Heading2"/>
      </w:pPr>
      <w:r>
        <w:rPr>
          <w:rFonts w:ascii="Arial" w:hAnsi="Arial"/>
          <w:b/>
          <w:color w:val="1F4E79"/>
          <w:sz w:val="25"/>
        </w:rPr>
        <w:t>6.3 Collaboration Evaluation</w:t>
      </w:r>
    </w:p>
    <w:p>
      <w:pPr>
        <w:spacing w:after="120" w:line="293" w:lineRule="auto"/>
        <w:jc w:val="both"/>
      </w:pPr>
      <w:r>
        <w:rPr>
          <w:rFonts w:ascii="Arial" w:hAnsi="Arial"/>
          <w:b w:val="0"/>
          <w:i w:val="0"/>
          <w:sz w:val="22"/>
        </w:rPr>
        <w:t>Under Leave-One-Video-Out the session-level model reaches macro-F1 0.667 (majority baseline 0.348; label-shuffle floor 0.396), rising to 0.764 with gaze. Within-scene pair-level collaboration scored at chance across appearance, relational, geometric and gaze feature families and is reported as a negative result.</w:t>
      </w:r>
    </w:p>
    <w:p>
      <w:pPr>
        <w:pStyle w:val="Heading2"/>
      </w:pPr>
      <w:r>
        <w:rPr>
          <w:rFonts w:ascii="Arial" w:hAnsi="Arial"/>
          <w:b/>
          <w:color w:val="1F4E79"/>
          <w:sz w:val="25"/>
        </w:rPr>
        <w:t>6.4 Confound and Robustness Checks</w:t>
      </w:r>
    </w:p>
    <w:p>
      <w:pPr>
        <w:spacing w:after="120" w:line="293" w:lineRule="auto"/>
        <w:jc w:val="both"/>
      </w:pPr>
      <w:r>
        <w:rPr>
          <w:rFonts w:ascii="Arial" w:hAnsi="Arial"/>
          <w:b w:val="0"/>
          <w:i w:val="0"/>
          <w:sz w:val="22"/>
        </w:rPr>
        <w:t>The gaze gain is driven by a model-free mutual-gaze signal (AUC 0.705; collaborative mean 0.34 vs non-collaborative 0.22) and is not a coverage artefact (a coverage-only baseline reaches just 0.598). A 95% bootstrap confidence interval of roughly [0.60, 0.90] and a regularised estimate of about 0.70–0.73 are reported, acknowledging the small-sample sensitivity.</w:t>
      </w:r>
    </w:p>
    <w:p>
      <w:pPr>
        <w:pStyle w:val="Heading2"/>
      </w:pPr>
      <w:r>
        <w:rPr>
          <w:rFonts w:ascii="Arial" w:hAnsi="Arial"/>
          <w:b/>
          <w:color w:val="1F4E79"/>
          <w:sz w:val="25"/>
        </w:rPr>
        <w:t>6.5 Application Test Cases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720"/>
            <w:shd w:val="clear" w:fill="1F4E79"/>
          </w:tcPr>
          <w:p>
            <w:r/>
            <w:r>
              <w:rPr>
                <w:rFonts w:ascii="Arial" w:hAnsi="Arial"/>
                <w:b/>
                <w:color w:val="FFFFFF"/>
                <w:sz w:val="19"/>
              </w:rPr>
              <w:t>#</w:t>
            </w:r>
          </w:p>
        </w:tc>
        <w:tc>
          <w:tcPr>
            <w:tcW w:type="dxa" w:w="2736"/>
            <w:shd w:val="clear" w:fill="1F4E79"/>
          </w:tcPr>
          <w:p>
            <w:r/>
            <w:r>
              <w:rPr>
                <w:rFonts w:ascii="Arial" w:hAnsi="Arial"/>
                <w:b/>
                <w:color w:val="FFFFFF"/>
                <w:sz w:val="19"/>
              </w:rPr>
              <w:t>Test</w:t>
            </w:r>
          </w:p>
        </w:tc>
        <w:tc>
          <w:tcPr>
            <w:tcW w:type="dxa" w:w="3744"/>
            <w:shd w:val="clear" w:fill="1F4E79"/>
          </w:tcPr>
          <w:p>
            <w:r/>
            <w:r>
              <w:rPr>
                <w:rFonts w:ascii="Arial" w:hAnsi="Arial"/>
                <w:b/>
                <w:color w:val="FFFFFF"/>
                <w:sz w:val="19"/>
              </w:rPr>
              <w:t>Expected</w:t>
            </w:r>
          </w:p>
        </w:tc>
        <w:tc>
          <w:tcPr>
            <w:tcW w:type="dxa" w:w="1152"/>
            <w:shd w:val="clear" w:fill="1F4E79"/>
          </w:tcPr>
          <w:p>
            <w:r/>
            <w:r>
              <w:rPr>
                <w:rFonts w:ascii="Arial" w:hAnsi="Arial"/>
                <w:b/>
                <w:color w:val="FFFFFF"/>
                <w:sz w:val="19"/>
              </w:rPr>
              <w:t>Result</w:t>
            </w:r>
          </w:p>
        </w:tc>
      </w:tr>
      <w:tr>
        <w:tc>
          <w:tcPr>
            <w:tcW w:type="dxa" w:w="720"/>
          </w:tcPr>
          <w:p>
            <w:r/>
            <w:r>
              <w:rPr>
                <w:rFonts w:ascii="Arial" w:hAnsi="Arial"/>
                <w:sz w:val="19"/>
              </w:rPr>
              <w:t>T1</w:t>
            </w:r>
          </w:p>
        </w:tc>
        <w:tc>
          <w:tcPr>
            <w:tcW w:type="dxa" w:w="2736"/>
          </w:tcPr>
          <w:p>
            <w:r/>
            <w:r>
              <w:rPr>
                <w:rFonts w:ascii="Arial" w:hAnsi="Arial"/>
                <w:sz w:val="19"/>
              </w:rPr>
              <w:t>Upload classroom video</w:t>
            </w:r>
          </w:p>
        </w:tc>
        <w:tc>
          <w:tcPr>
            <w:tcW w:type="dxa" w:w="3744"/>
          </w:tcPr>
          <w:p>
            <w:r/>
            <w:r>
              <w:rPr>
                <w:rFonts w:ascii="Arial" w:hAnsi="Arial"/>
                <w:sz w:val="19"/>
              </w:rPr>
              <w:t>Session created, analysis starts</w:t>
            </w:r>
          </w:p>
        </w:tc>
        <w:tc>
          <w:tcPr>
            <w:tcW w:type="dxa" w:w="1152"/>
          </w:tcPr>
          <w:p>
            <w:r/>
            <w:r>
              <w:rPr>
                <w:rFonts w:ascii="Arial" w:hAnsi="Arial"/>
                <w:sz w:val="19"/>
              </w:rPr>
              <w:t>Pass</w:t>
            </w:r>
          </w:p>
        </w:tc>
      </w:tr>
      <w:tr>
        <w:tc>
          <w:tcPr>
            <w:tcW w:type="dxa" w:w="720"/>
            <w:shd w:val="clear" w:fill="EAF0F7"/>
          </w:tcPr>
          <w:p>
            <w:r/>
            <w:r>
              <w:rPr>
                <w:rFonts w:ascii="Arial" w:hAnsi="Arial"/>
                <w:sz w:val="19"/>
              </w:rPr>
              <w:t>T2</w:t>
            </w:r>
          </w:p>
        </w:tc>
        <w:tc>
          <w:tcPr>
            <w:tcW w:type="dxa" w:w="2736"/>
            <w:shd w:val="clear" w:fill="EAF0F7"/>
          </w:tcPr>
          <w:p>
            <w:r/>
            <w:r>
              <w:rPr>
                <w:rFonts w:ascii="Arial" w:hAnsi="Arial"/>
                <w:sz w:val="19"/>
              </w:rPr>
              <w:t>Per-student boxes</w:t>
            </w:r>
          </w:p>
        </w:tc>
        <w:tc>
          <w:tcPr>
            <w:tcW w:type="dxa" w:w="3744"/>
            <w:shd w:val="clear" w:fill="EAF0F7"/>
          </w:tcPr>
          <w:p>
            <w:r/>
            <w:r>
              <w:rPr>
                <w:rFonts w:ascii="Arial" w:hAnsi="Arial"/>
                <w:sz w:val="19"/>
              </w:rPr>
              <w:t>Every student boxed; engagement colour</w:t>
            </w:r>
          </w:p>
        </w:tc>
        <w:tc>
          <w:tcPr>
            <w:tcW w:type="dxa" w:w="1152"/>
            <w:shd w:val="clear" w:fill="EAF0F7"/>
          </w:tcPr>
          <w:p>
            <w:r/>
            <w:r>
              <w:rPr>
                <w:rFonts w:ascii="Arial" w:hAnsi="Arial"/>
                <w:sz w:val="19"/>
              </w:rPr>
              <w:t>Pass</w:t>
            </w:r>
          </w:p>
        </w:tc>
      </w:tr>
      <w:tr>
        <w:tc>
          <w:tcPr>
            <w:tcW w:type="dxa" w:w="720"/>
          </w:tcPr>
          <w:p>
            <w:r/>
            <w:r>
              <w:rPr>
                <w:rFonts w:ascii="Arial" w:hAnsi="Arial"/>
                <w:sz w:val="19"/>
              </w:rPr>
              <w:t>T3</w:t>
            </w:r>
          </w:p>
        </w:tc>
        <w:tc>
          <w:tcPr>
            <w:tcW w:type="dxa" w:w="2736"/>
          </w:tcPr>
          <w:p>
            <w:r/>
            <w:r>
              <w:rPr>
                <w:rFonts w:ascii="Arial" w:hAnsi="Arial"/>
                <w:sz w:val="19"/>
              </w:rPr>
              <w:t>Disengaged student</w:t>
            </w:r>
          </w:p>
        </w:tc>
        <w:tc>
          <w:tcPr>
            <w:tcW w:type="dxa" w:w="3744"/>
          </w:tcPr>
          <w:p>
            <w:r/>
            <w:r>
              <w:rPr>
                <w:rFonts w:ascii="Arial" w:hAnsi="Arial"/>
                <w:sz w:val="19"/>
              </w:rPr>
              <w:t>Red box + critical alert with in-clip time</w:t>
            </w:r>
          </w:p>
        </w:tc>
        <w:tc>
          <w:tcPr>
            <w:tcW w:type="dxa" w:w="1152"/>
          </w:tcPr>
          <w:p>
            <w:r/>
            <w:r>
              <w:rPr>
                <w:rFonts w:ascii="Arial" w:hAnsi="Arial"/>
                <w:sz w:val="19"/>
              </w:rPr>
              <w:t>Pass</w:t>
            </w:r>
          </w:p>
        </w:tc>
      </w:tr>
      <w:tr>
        <w:tc>
          <w:tcPr>
            <w:tcW w:type="dxa" w:w="720"/>
            <w:shd w:val="clear" w:fill="EAF0F7"/>
          </w:tcPr>
          <w:p>
            <w:r/>
            <w:r>
              <w:rPr>
                <w:rFonts w:ascii="Arial" w:hAnsi="Arial"/>
                <w:sz w:val="19"/>
              </w:rPr>
              <w:t>T4</w:t>
            </w:r>
          </w:p>
        </w:tc>
        <w:tc>
          <w:tcPr>
            <w:tcW w:type="dxa" w:w="2736"/>
            <w:shd w:val="clear" w:fill="EAF0F7"/>
          </w:tcPr>
          <w:p>
            <w:r/>
            <w:r>
              <w:rPr>
                <w:rFonts w:ascii="Arial" w:hAnsi="Arial"/>
                <w:sz w:val="19"/>
              </w:rPr>
              <w:t>Collaboration verdict</w:t>
            </w:r>
          </w:p>
        </w:tc>
        <w:tc>
          <w:tcPr>
            <w:tcW w:type="dxa" w:w="3744"/>
            <w:shd w:val="clear" w:fill="EAF0F7"/>
          </w:tcPr>
          <w:p>
            <w:r/>
            <w:r>
              <w:rPr>
                <w:rFonts w:ascii="Arial" w:hAnsi="Arial"/>
                <w:sz w:val="19"/>
              </w:rPr>
              <w:t>Session verdict from real group head</w:t>
            </w:r>
          </w:p>
        </w:tc>
        <w:tc>
          <w:tcPr>
            <w:tcW w:type="dxa" w:w="1152"/>
            <w:shd w:val="clear" w:fill="EAF0F7"/>
          </w:tcPr>
          <w:p>
            <w:r/>
            <w:r>
              <w:rPr>
                <w:rFonts w:ascii="Arial" w:hAnsi="Arial"/>
                <w:sz w:val="19"/>
              </w:rPr>
              <w:t>Pass</w:t>
            </w:r>
          </w:p>
        </w:tc>
      </w:tr>
      <w:tr>
        <w:tc>
          <w:tcPr>
            <w:tcW w:type="dxa" w:w="720"/>
          </w:tcPr>
          <w:p>
            <w:r/>
            <w:r>
              <w:rPr>
                <w:rFonts w:ascii="Arial" w:hAnsi="Arial"/>
                <w:sz w:val="19"/>
              </w:rPr>
              <w:t>T5</w:t>
            </w:r>
          </w:p>
        </w:tc>
        <w:tc>
          <w:tcPr>
            <w:tcW w:type="dxa" w:w="2736"/>
          </w:tcPr>
          <w:p>
            <w:r/>
            <w:r>
              <w:rPr>
                <w:rFonts w:ascii="Arial" w:hAnsi="Arial"/>
                <w:sz w:val="19"/>
              </w:rPr>
              <w:t>Timeline seek</w:t>
            </w:r>
          </w:p>
        </w:tc>
        <w:tc>
          <w:tcPr>
            <w:tcW w:type="dxa" w:w="3744"/>
          </w:tcPr>
          <w:p>
            <w:r/>
            <w:r>
              <w:rPr>
                <w:rFonts w:ascii="Arial" w:hAnsi="Arial"/>
                <w:sz w:val="19"/>
              </w:rPr>
              <w:t>Jump to alert moment in the video</w:t>
            </w:r>
          </w:p>
        </w:tc>
        <w:tc>
          <w:tcPr>
            <w:tcW w:type="dxa" w:w="1152"/>
          </w:tcPr>
          <w:p>
            <w:r/>
            <w:r>
              <w:rPr>
                <w:rFonts w:ascii="Arial" w:hAnsi="Arial"/>
                <w:sz w:val="19"/>
              </w:rPr>
              <w:t>Pass</w:t>
            </w:r>
          </w:p>
        </w:tc>
      </w:tr>
      <w:tr>
        <w:tc>
          <w:tcPr>
            <w:tcW w:type="dxa" w:w="720"/>
            <w:shd w:val="clear" w:fill="EAF0F7"/>
          </w:tcPr>
          <w:p>
            <w:r/>
            <w:r>
              <w:rPr>
                <w:rFonts w:ascii="Arial" w:hAnsi="Arial"/>
                <w:sz w:val="19"/>
              </w:rPr>
              <w:t>T6</w:t>
            </w:r>
          </w:p>
        </w:tc>
        <w:tc>
          <w:tcPr>
            <w:tcW w:type="dxa" w:w="2736"/>
            <w:shd w:val="clear" w:fill="EAF0F7"/>
          </w:tcPr>
          <w:p>
            <w:r/>
            <w:r>
              <w:rPr>
                <w:rFonts w:ascii="Arial" w:hAnsi="Arial"/>
                <w:sz w:val="19"/>
              </w:rPr>
              <w:t>AI Copilot</w:t>
            </w:r>
          </w:p>
        </w:tc>
        <w:tc>
          <w:tcPr>
            <w:tcW w:type="dxa" w:w="3744"/>
            <w:shd w:val="clear" w:fill="EAF0F7"/>
          </w:tcPr>
          <w:p>
            <w:r/>
            <w:r>
              <w:rPr>
                <w:rFonts w:ascii="Arial" w:hAnsi="Arial"/>
                <w:sz w:val="19"/>
              </w:rPr>
              <w:t>Answers grounded in session metrics</w:t>
            </w:r>
          </w:p>
        </w:tc>
        <w:tc>
          <w:tcPr>
            <w:tcW w:type="dxa" w:w="1152"/>
            <w:shd w:val="clear" w:fill="EAF0F7"/>
          </w:tcPr>
          <w:p>
            <w:r/>
            <w:r>
              <w:rPr>
                <w:rFonts w:ascii="Arial" w:hAnsi="Arial"/>
                <w:sz w:val="19"/>
              </w:rPr>
              <w:t>Pass</w:t>
            </w:r>
          </w:p>
        </w:tc>
      </w:tr>
      <w:tr>
        <w:tc>
          <w:tcPr>
            <w:tcW w:type="dxa" w:w="720"/>
          </w:tcPr>
          <w:p>
            <w:r/>
            <w:r>
              <w:rPr>
                <w:rFonts w:ascii="Arial" w:hAnsi="Arial"/>
                <w:sz w:val="19"/>
              </w:rPr>
              <w:t>T7</w:t>
            </w:r>
          </w:p>
        </w:tc>
        <w:tc>
          <w:tcPr>
            <w:tcW w:type="dxa" w:w="2736"/>
          </w:tcPr>
          <w:p>
            <w:r/>
            <w:r>
              <w:rPr>
                <w:rFonts w:ascii="Arial" w:hAnsi="Arial"/>
                <w:sz w:val="19"/>
              </w:rPr>
              <w:t>PDF export</w:t>
            </w:r>
          </w:p>
        </w:tc>
        <w:tc>
          <w:tcPr>
            <w:tcW w:type="dxa" w:w="3744"/>
          </w:tcPr>
          <w:p>
            <w:r/>
            <w:r>
              <w:rPr>
                <w:rFonts w:ascii="Arial" w:hAnsi="Arial"/>
                <w:sz w:val="19"/>
              </w:rPr>
              <w:t>Downloadable session report</w:t>
            </w:r>
          </w:p>
        </w:tc>
        <w:tc>
          <w:tcPr>
            <w:tcW w:type="dxa" w:w="1152"/>
          </w:tcPr>
          <w:p>
            <w:r/>
            <w:r>
              <w:rPr>
                <w:rFonts w:ascii="Arial" w:hAnsi="Arial"/>
                <w:sz w:val="19"/>
              </w:rPr>
              <w:t>Pass</w:t>
            </w:r>
          </w:p>
        </w:tc>
      </w:tr>
    </w:tbl>
    <w:p>
      <w:r>
        <w:br w:type="page"/>
      </w:r>
    </w:p>
    <w:p>
      <w:pPr>
        <w:pStyle w:val="Heading1"/>
      </w:pPr>
      <w:r>
        <w:rPr>
          <w:rFonts w:ascii="Arial" w:hAnsi="Arial"/>
          <w:b/>
          <w:color w:val="1F4E79"/>
          <w:sz w:val="30"/>
        </w:rPr>
        <w:t>Chapter 7  ·  Results and Discussion</w:t>
      </w:r>
    </w:p>
    <w:p>
      <w:pPr>
        <w:pStyle w:val="Heading2"/>
      </w:pPr>
      <w:r>
        <w:rPr>
          <w:rFonts w:ascii="Arial" w:hAnsi="Arial"/>
          <w:b/>
          <w:color w:val="1F4E79"/>
          <w:sz w:val="25"/>
        </w:rPr>
        <w:t>7.1 Engagement Results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600"/>
            <w:shd w:val="clear" w:fill="1F4E79"/>
          </w:tcPr>
          <w:p>
            <w:r/>
            <w:r>
              <w:rPr>
                <w:rFonts w:ascii="Arial" w:hAnsi="Arial"/>
                <w:b/>
                <w:color w:val="FFFFFF"/>
                <w:sz w:val="20"/>
              </w:rPr>
              <w:t>Split</w:t>
            </w:r>
          </w:p>
        </w:tc>
        <w:tc>
          <w:tcPr>
            <w:tcW w:type="dxa" w:w="1584"/>
            <w:shd w:val="clear" w:fill="1F4E79"/>
          </w:tcPr>
          <w:p>
            <w:r/>
            <w:r>
              <w:rPr>
                <w:rFonts w:ascii="Arial" w:hAnsi="Arial"/>
                <w:b/>
                <w:color w:val="FFFFFF"/>
                <w:sz w:val="20"/>
              </w:rPr>
              <w:t>Macro-F1</w:t>
            </w:r>
          </w:p>
        </w:tc>
        <w:tc>
          <w:tcPr>
            <w:tcW w:type="dxa" w:w="1584"/>
            <w:shd w:val="clear" w:fill="1F4E79"/>
          </w:tcPr>
          <w:p>
            <w:r/>
            <w:r>
              <w:rPr>
                <w:rFonts w:ascii="Arial" w:hAnsi="Arial"/>
                <w:b/>
                <w:color w:val="FFFFFF"/>
                <w:sz w:val="20"/>
              </w:rPr>
              <w:t>Accuracy</w:t>
            </w:r>
          </w:p>
        </w:tc>
        <w:tc>
          <w:tcPr>
            <w:tcW w:type="dxa" w:w="1296"/>
            <w:shd w:val="clear" w:fill="1F4E79"/>
          </w:tcPr>
          <w:p>
            <w:r/>
            <w:r>
              <w:rPr>
                <w:rFonts w:ascii="Arial" w:hAnsi="Arial"/>
                <w:b/>
                <w:color w:val="FFFFFF"/>
                <w:sz w:val="20"/>
              </w:rPr>
              <w:t>NE-F1</w:t>
            </w:r>
          </w:p>
        </w:tc>
        <w:tc>
          <w:tcPr>
            <w:tcW w:type="dxa" w:w="1296"/>
            <w:shd w:val="clear" w:fill="1F4E79"/>
          </w:tcPr>
          <w:p>
            <w:r/>
            <w:r>
              <w:rPr>
                <w:rFonts w:ascii="Arial" w:hAnsi="Arial"/>
                <w:b/>
                <w:color w:val="FFFFFF"/>
                <w:sz w:val="20"/>
              </w:rPr>
              <w:t>E-F1</w:t>
            </w:r>
          </w:p>
        </w:tc>
      </w:tr>
      <w:tr>
        <w:tc>
          <w:tcPr>
            <w:tcW w:type="dxa" w:w="3600"/>
          </w:tcPr>
          <w:p>
            <w:r/>
            <w:r>
              <w:rPr>
                <w:rFonts w:ascii="Arial" w:hAnsi="Arial"/>
                <w:sz w:val="20"/>
              </w:rPr>
              <w:t>Validation (optimistic)</w:t>
            </w:r>
          </w:p>
        </w:tc>
        <w:tc>
          <w:tcPr>
            <w:tcW w:type="dxa" w:w="1584"/>
          </w:tcPr>
          <w:p>
            <w:r/>
            <w:r>
              <w:rPr>
                <w:rFonts w:ascii="Arial" w:hAnsi="Arial"/>
                <w:sz w:val="20"/>
              </w:rPr>
              <w:t>0.90</w:t>
            </w:r>
          </w:p>
        </w:tc>
        <w:tc>
          <w:tcPr>
            <w:tcW w:type="dxa" w:w="1584"/>
          </w:tcPr>
          <w:p>
            <w:r/>
            <w:r>
              <w:rPr>
                <w:rFonts w:ascii="Arial" w:hAnsi="Arial"/>
                <w:sz w:val="20"/>
              </w:rPr>
              <w:t>92.4%</w:t>
            </w:r>
          </w:p>
        </w:tc>
        <w:tc>
          <w:tcPr>
            <w:tcW w:type="dxa" w:w="1296"/>
          </w:tcPr>
          <w:p>
            <w:r/>
            <w:r>
              <w:rPr>
                <w:rFonts w:ascii="Arial" w:hAnsi="Arial"/>
                <w:sz w:val="20"/>
              </w:rPr>
              <w:t>—</w:t>
            </w:r>
          </w:p>
        </w:tc>
        <w:tc>
          <w:tcPr>
            <w:tcW w:type="dxa" w:w="1296"/>
          </w:tcPr>
          <w:p>
            <w:r/>
            <w:r>
              <w:rPr>
                <w:rFonts w:ascii="Arial" w:hAnsi="Arial"/>
                <w:sz w:val="20"/>
              </w:rPr>
              <w:t>—</w:t>
            </w:r>
          </w:p>
        </w:tc>
      </w:tr>
      <w:tr>
        <w:tc>
          <w:tcPr>
            <w:tcW w:type="dxa" w:w="3600"/>
            <w:shd w:val="clear" w:fill="EAF0F7"/>
          </w:tcPr>
          <w:p>
            <w:r/>
            <w:r>
              <w:rPr>
                <w:rFonts w:ascii="Arial" w:hAnsi="Arial"/>
                <w:sz w:val="20"/>
              </w:rPr>
              <w:t>Held-out Test (honest)</w:t>
            </w:r>
          </w:p>
        </w:tc>
        <w:tc>
          <w:tcPr>
            <w:tcW w:type="dxa" w:w="1584"/>
            <w:shd w:val="clear" w:fill="EAF0F7"/>
          </w:tcPr>
          <w:p>
            <w:r/>
            <w:r>
              <w:rPr>
                <w:rFonts w:ascii="Arial" w:hAnsi="Arial"/>
                <w:sz w:val="20"/>
              </w:rPr>
              <w:t>0.7344</w:t>
            </w:r>
          </w:p>
        </w:tc>
        <w:tc>
          <w:tcPr>
            <w:tcW w:type="dxa" w:w="1584"/>
            <w:shd w:val="clear" w:fill="EAF0F7"/>
          </w:tcPr>
          <w:p>
            <w:r/>
            <w:r>
              <w:rPr>
                <w:rFonts w:ascii="Arial" w:hAnsi="Arial"/>
                <w:sz w:val="20"/>
              </w:rPr>
              <w:t>76.7%</w:t>
            </w:r>
          </w:p>
        </w:tc>
        <w:tc>
          <w:tcPr>
            <w:tcW w:type="dxa" w:w="1296"/>
            <w:shd w:val="clear" w:fill="EAF0F7"/>
          </w:tcPr>
          <w:p>
            <w:r/>
            <w:r>
              <w:rPr>
                <w:rFonts w:ascii="Arial" w:hAnsi="Arial"/>
                <w:sz w:val="20"/>
              </w:rPr>
              <w:t>0.6415</w:t>
            </w:r>
          </w:p>
        </w:tc>
        <w:tc>
          <w:tcPr>
            <w:tcW w:type="dxa" w:w="1296"/>
            <w:shd w:val="clear" w:fill="EAF0F7"/>
          </w:tcPr>
          <w:p>
            <w:r/>
            <w:r>
              <w:rPr>
                <w:rFonts w:ascii="Arial" w:hAnsi="Arial"/>
                <w:sz w:val="20"/>
              </w:rPr>
              <w:t>0.8273</w:t>
            </w:r>
          </w:p>
        </w:tc>
      </w:tr>
    </w:tbl>
    <w:p>
      <w:pPr>
        <w:spacing w:after="120" w:line="293" w:lineRule="auto"/>
        <w:jc w:val="both"/>
      </w:pPr>
      <w:r>
        <w:rPr>
          <w:rFonts w:ascii="Arial" w:hAnsi="Arial"/>
          <w:b w:val="0"/>
          <w:i w:val="0"/>
          <w:sz w:val="22"/>
        </w:rPr>
        <w:t>The model generalises to five unseen classrooms at macro-F1 0.73. The Engaged class is recognised well (F1 0.83); Not-Engaged is harder (F1 0.64, recall 0.53), which we attribute to the diversity of disengaged behaviours and is the clearest target for future improvement.</w:t>
      </w:r>
    </w:p>
    <w:p>
      <w:pPr>
        <w:pStyle w:val="Heading2"/>
      </w:pPr>
      <w:r>
        <w:rPr>
          <w:rFonts w:ascii="Arial" w:hAnsi="Arial"/>
          <w:b/>
          <w:color w:val="1F4E79"/>
          <w:sz w:val="25"/>
        </w:rPr>
        <w:t>7.2 Collaboration Results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456"/>
            <w:shd w:val="clear" w:fill="1F4E79"/>
          </w:tcPr>
          <w:p>
            <w:r/>
            <w:r>
              <w:rPr>
                <w:rFonts w:ascii="Arial" w:hAnsi="Arial"/>
                <w:b/>
                <w:color w:val="FFFFFF"/>
                <w:sz w:val="20"/>
              </w:rPr>
              <w:t>Model</w:t>
            </w:r>
          </w:p>
        </w:tc>
        <w:tc>
          <w:tcPr>
            <w:tcW w:type="dxa" w:w="1584"/>
            <w:shd w:val="clear" w:fill="1F4E79"/>
          </w:tcPr>
          <w:p>
            <w:r/>
            <w:r>
              <w:rPr>
                <w:rFonts w:ascii="Arial" w:hAnsi="Arial"/>
                <w:b/>
                <w:color w:val="FFFFFF"/>
                <w:sz w:val="20"/>
              </w:rPr>
              <w:t>Macro-F1</w:t>
            </w:r>
          </w:p>
        </w:tc>
        <w:tc>
          <w:tcPr>
            <w:tcW w:type="dxa" w:w="4320"/>
            <w:shd w:val="clear" w:fill="1F4E79"/>
          </w:tcPr>
          <w:p>
            <w:r/>
            <w:r>
              <w:rPr>
                <w:rFonts w:ascii="Arial" w:hAnsi="Arial"/>
                <w:b/>
                <w:color w:val="FFFFFF"/>
                <w:sz w:val="20"/>
              </w:rPr>
              <w:t>Notes</w:t>
            </w:r>
          </w:p>
        </w:tc>
      </w:tr>
      <w:tr>
        <w:tc>
          <w:tcPr>
            <w:tcW w:type="dxa" w:w="3456"/>
          </w:tcPr>
          <w:p>
            <w:r/>
            <w:r>
              <w:rPr>
                <w:rFonts w:ascii="Arial" w:hAnsi="Arial"/>
                <w:sz w:val="20"/>
              </w:rPr>
              <w:t>Majority baseline</w:t>
            </w:r>
          </w:p>
        </w:tc>
        <w:tc>
          <w:tcPr>
            <w:tcW w:type="dxa" w:w="1584"/>
          </w:tcPr>
          <w:p>
            <w:r/>
            <w:r>
              <w:rPr>
                <w:rFonts w:ascii="Arial" w:hAnsi="Arial"/>
                <w:sz w:val="20"/>
              </w:rPr>
              <w:t>0.348</w:t>
            </w:r>
          </w:p>
        </w:tc>
        <w:tc>
          <w:tcPr>
            <w:tcW w:type="dxa" w:w="4320"/>
          </w:tcPr>
          <w:p>
            <w:r/>
            <w:r>
              <w:rPr>
                <w:rFonts w:ascii="Arial" w:hAnsi="Arial"/>
                <w:sz w:val="20"/>
              </w:rPr>
              <w:t>predict the dominant class</w:t>
            </w:r>
          </w:p>
        </w:tc>
      </w:tr>
      <w:tr>
        <w:tc>
          <w:tcPr>
            <w:tcW w:type="dxa" w:w="3456"/>
            <w:shd w:val="clear" w:fill="EAF0F7"/>
          </w:tcPr>
          <w:p>
            <w:r/>
            <w:r>
              <w:rPr>
                <w:rFonts w:ascii="Arial" w:hAnsi="Arial"/>
                <w:sz w:val="20"/>
              </w:rPr>
              <w:t>Label-shuffle floor</w:t>
            </w:r>
          </w:p>
        </w:tc>
        <w:tc>
          <w:tcPr>
            <w:tcW w:type="dxa" w:w="1584"/>
            <w:shd w:val="clear" w:fill="EAF0F7"/>
          </w:tcPr>
          <w:p>
            <w:r/>
            <w:r>
              <w:rPr>
                <w:rFonts w:ascii="Arial" w:hAnsi="Arial"/>
                <w:sz w:val="20"/>
              </w:rPr>
              <w:t>0.396</w:t>
            </w:r>
          </w:p>
        </w:tc>
        <w:tc>
          <w:tcPr>
            <w:tcW w:type="dxa" w:w="4320"/>
            <w:shd w:val="clear" w:fill="EAF0F7"/>
          </w:tcPr>
          <w:p>
            <w:r/>
            <w:r>
              <w:rPr>
                <w:rFonts w:ascii="Arial" w:hAnsi="Arial"/>
                <w:sz w:val="20"/>
              </w:rPr>
              <w:t>chance under permuted labels</w:t>
            </w:r>
          </w:p>
        </w:tc>
      </w:tr>
      <w:tr>
        <w:tc>
          <w:tcPr>
            <w:tcW w:type="dxa" w:w="3456"/>
          </w:tcPr>
          <w:p>
            <w:r/>
            <w:r>
              <w:rPr>
                <w:rFonts w:ascii="Arial" w:hAnsi="Arial"/>
                <w:sz w:val="20"/>
              </w:rPr>
              <w:t>Signals (LOVO)</w:t>
            </w:r>
          </w:p>
        </w:tc>
        <w:tc>
          <w:tcPr>
            <w:tcW w:type="dxa" w:w="1584"/>
          </w:tcPr>
          <w:p>
            <w:r/>
            <w:r>
              <w:rPr>
                <w:rFonts w:ascii="Arial" w:hAnsi="Arial"/>
                <w:sz w:val="20"/>
              </w:rPr>
              <w:t>0.667</w:t>
            </w:r>
          </w:p>
        </w:tc>
        <w:tc>
          <w:tcPr>
            <w:tcW w:type="dxa" w:w="4320"/>
          </w:tcPr>
          <w:p>
            <w:r/>
            <w:r>
              <w:rPr>
                <w:rFonts w:ascii="Arial" w:hAnsi="Arial"/>
                <w:sz w:val="20"/>
              </w:rPr>
              <w:t>6 relational signals + feature scalars</w:t>
            </w:r>
          </w:p>
        </w:tc>
      </w:tr>
      <w:tr>
        <w:tc>
          <w:tcPr>
            <w:tcW w:type="dxa" w:w="3456"/>
            <w:shd w:val="clear" w:fill="EAF0F7"/>
          </w:tcPr>
          <w:p>
            <w:r/>
            <w:r>
              <w:rPr>
                <w:rFonts w:ascii="Arial" w:hAnsi="Arial"/>
                <w:sz w:val="20"/>
              </w:rPr>
              <w:t>Signals + Gaze (LOVO)</w:t>
            </w:r>
          </w:p>
        </w:tc>
        <w:tc>
          <w:tcPr>
            <w:tcW w:type="dxa" w:w="1584"/>
            <w:shd w:val="clear" w:fill="EAF0F7"/>
          </w:tcPr>
          <w:p>
            <w:r/>
            <w:r>
              <w:rPr>
                <w:rFonts w:ascii="Arial" w:hAnsi="Arial"/>
                <w:sz w:val="20"/>
              </w:rPr>
              <w:t>0.764</w:t>
            </w:r>
          </w:p>
        </w:tc>
        <w:tc>
          <w:tcPr>
            <w:tcW w:type="dxa" w:w="4320"/>
            <w:shd w:val="clear" w:fill="EAF0F7"/>
          </w:tcPr>
          <w:p>
            <w:r/>
            <w:r>
              <w:rPr>
                <w:rFonts w:ascii="Arial" w:hAnsi="Arial"/>
                <w:sz w:val="20"/>
              </w:rPr>
              <w:t>adds head-pose gaze; verified positive</w:t>
            </w:r>
          </w:p>
        </w:tc>
      </w:tr>
    </w:tbl>
    <w:p>
      <w:pPr>
        <w:jc w:val="center"/>
      </w:pPr>
      <w:r>
        <w:drawing>
          <wp:inline xmlns:a="http://schemas.openxmlformats.org/drawingml/2006/main" xmlns:pic="http://schemas.openxmlformats.org/drawingml/2006/picture">
            <wp:extent cx="5669280" cy="2253786"/>
            <wp:docPr id="2" name="Picture 2"/>
            <wp:cNvGraphicFramePr>
              <a:graphicFrameLocks noChangeAspect="1"/>
            </wp:cNvGraphicFramePr>
            <a:graphic>
              <a:graphicData uri="http://schemas.openxmlformats.org/drawingml/2006/picture">
                <pic:pic>
                  <pic:nvPicPr>
                    <pic:cNvPr id="0" name="fig_results.png"/>
                    <pic:cNvPicPr/>
                  </pic:nvPicPr>
                  <pic:blipFill>
                    <a:blip r:embed="rId10"/>
                    <a:stretch>
                      <a:fillRect/>
                    </a:stretch>
                  </pic:blipFill>
                  <pic:spPr>
                    <a:xfrm>
                      <a:off x="0" y="0"/>
                      <a:ext cx="5669280" cy="2253786"/>
                    </a:xfrm>
                    <a:prstGeom prst="rect"/>
                  </pic:spPr>
                </pic:pic>
              </a:graphicData>
            </a:graphic>
          </wp:inline>
        </w:drawing>
      </w:r>
    </w:p>
    <w:p>
      <w:pPr>
        <w:spacing w:after="200"/>
        <w:jc w:val="center"/>
      </w:pPr>
      <w:r>
        <w:rPr>
          <w:rFonts w:ascii="Arial" w:hAnsi="Arial"/>
          <w:b w:val="0"/>
          <w:i/>
          <w:color w:val="555555"/>
          <w:sz w:val="19"/>
        </w:rPr>
        <w:t>Figure 7.1 — Engagement (validation vs honest test) and collaboration (signals vs signals+gaze).</w:t>
      </w:r>
    </w:p>
    <w:p>
      <w:pPr>
        <w:spacing w:after="120" w:line="293" w:lineRule="auto"/>
        <w:jc w:val="both"/>
      </w:pPr>
      <w:r>
        <w:rPr>
          <w:rFonts w:ascii="Arial" w:hAnsi="Arial"/>
          <w:b w:val="0"/>
          <w:i w:val="0"/>
          <w:sz w:val="22"/>
        </w:rPr>
        <w:t>Collaboration is a genuine, if modest, signal at the session level, and gaze provides a real and verified lift. Importantly, collaboration is modelled independently of engagement: a group with heads down over a shared laptop can be correctly judged collaborative even when individual attention-to-front is low.</w:t>
      </w:r>
    </w:p>
    <w:p>
      <w:pPr>
        <w:pStyle w:val="Heading2"/>
      </w:pPr>
      <w:r>
        <w:rPr>
          <w:rFonts w:ascii="Arial" w:hAnsi="Arial"/>
          <w:b/>
          <w:color w:val="1F4E79"/>
          <w:sz w:val="25"/>
        </w:rPr>
        <w:t>7.3 EduLens — Features and Standout Features</w:t>
      </w:r>
    </w:p>
    <w:p>
      <w:pPr>
        <w:pStyle w:val="ListBullet"/>
        <w:spacing w:after="60"/>
      </w:pPr>
      <w:r>
        <w:rPr>
          <w:rFonts w:ascii="Arial" w:hAnsi="Arial"/>
          <w:b/>
          <w:color w:val="1F4E79"/>
          <w:sz w:val="22"/>
        </w:rPr>
        <w:t xml:space="preserve">Live Monitor with per-student boxes — </w:t>
      </w:r>
      <w:r>
        <w:rPr>
          <w:rFonts w:ascii="Arial" w:hAnsi="Arial"/>
          <w:sz w:val="22"/>
        </w:rPr>
        <w:t>every student is detected, tracked and boxed; box colour reflects real engagement, with disengaged students in red.</w:t>
      </w:r>
    </w:p>
    <w:p>
      <w:pPr>
        <w:pStyle w:val="ListBullet"/>
        <w:spacing w:after="60"/>
      </w:pPr>
      <w:r>
        <w:rPr>
          <w:rFonts w:ascii="Arial" w:hAnsi="Arial"/>
          <w:b/>
          <w:color w:val="1F4E79"/>
          <w:sz w:val="22"/>
        </w:rPr>
        <w:t xml:space="preserve">Digital Classroom Twin — </w:t>
      </w:r>
      <w:r>
        <w:rPr>
          <w:rFonts w:ascii="Arial" w:hAnsi="Arial"/>
          <w:sz w:val="22"/>
        </w:rPr>
        <w:t>an at-a-glance spatial view of the class and who needs attention.</w:t>
      </w:r>
    </w:p>
    <w:p>
      <w:pPr>
        <w:pStyle w:val="ListBullet"/>
        <w:spacing w:after="60"/>
      </w:pPr>
      <w:r>
        <w:rPr>
          <w:rFonts w:ascii="Arial" w:hAnsi="Arial"/>
          <w:b/>
          <w:color w:val="1F4E79"/>
          <w:sz w:val="22"/>
        </w:rPr>
        <w:t xml:space="preserve">Class Health Score — </w:t>
      </w:r>
      <w:r>
        <w:rPr>
          <w:rFonts w:ascii="Arial" w:hAnsi="Arial"/>
          <w:sz w:val="22"/>
        </w:rPr>
        <w:t>a single, live indicator combining engagement and collaboration.</w:t>
      </w:r>
    </w:p>
    <w:p>
      <w:pPr>
        <w:pStyle w:val="ListBullet"/>
        <w:spacing w:after="60"/>
      </w:pPr>
      <w:r>
        <w:rPr>
          <w:rFonts w:ascii="Arial" w:hAnsi="Arial"/>
          <w:b/>
          <w:color w:val="1F4E79"/>
          <w:sz w:val="22"/>
        </w:rPr>
        <w:t xml:space="preserve">Tiered Alerts — </w:t>
      </w:r>
      <w:r>
        <w:rPr>
          <w:rFonts w:ascii="Arial" w:hAnsi="Arial"/>
          <w:sz w:val="22"/>
        </w:rPr>
        <w:t>soft / warning / critical alerts with honest in-clip timestamps and one-click seek to the moment.</w:t>
      </w:r>
    </w:p>
    <w:p>
      <w:pPr>
        <w:pStyle w:val="ListBullet"/>
        <w:spacing w:after="60"/>
      </w:pPr>
      <w:r>
        <w:rPr>
          <w:rFonts w:ascii="Arial" w:hAnsi="Arial"/>
          <w:b/>
          <w:color w:val="1F4E79"/>
          <w:sz w:val="22"/>
        </w:rPr>
        <w:t xml:space="preserve">AI Classroom Copilot — </w:t>
      </w:r>
      <w:r>
        <w:rPr>
          <w:rFonts w:ascii="Arial" w:hAnsi="Arial"/>
          <w:sz w:val="22"/>
        </w:rPr>
        <w:t>answers natural-language questions about the session, grounded in the computed metrics.</w:t>
      </w:r>
    </w:p>
    <w:p>
      <w:pPr>
        <w:pStyle w:val="ListBullet"/>
        <w:spacing w:after="60"/>
      </w:pPr>
      <w:r>
        <w:rPr>
          <w:rFonts w:ascii="Arial" w:hAnsi="Arial"/>
          <w:b/>
          <w:color w:val="1F4E79"/>
          <w:sz w:val="22"/>
        </w:rPr>
        <w:t xml:space="preserve">Timeline Replay — </w:t>
      </w:r>
      <w:r>
        <w:rPr>
          <w:rFonts w:ascii="Arial" w:hAnsi="Arial"/>
          <w:sz w:val="22"/>
        </w:rPr>
        <w:t>a per-second engagement timeline that can be scrubbed and replayed.</w:t>
      </w:r>
    </w:p>
    <w:p>
      <w:pPr>
        <w:pStyle w:val="ListBullet"/>
        <w:spacing w:after="60"/>
      </w:pPr>
      <w:r>
        <w:rPr>
          <w:rFonts w:ascii="Arial" w:hAnsi="Arial"/>
          <w:b/>
          <w:color w:val="1F4E79"/>
          <w:sz w:val="22"/>
        </w:rPr>
        <w:t xml:space="preserve">Interaction Graph — </w:t>
      </w:r>
      <w:r>
        <w:rPr>
          <w:rFonts w:ascii="Arial" w:hAnsi="Arial"/>
          <w:sz w:val="22"/>
        </w:rPr>
        <w:t>a visual map of group interaction underlying the collaboration verdict.</w:t>
      </w:r>
    </w:p>
    <w:p>
      <w:pPr>
        <w:pStyle w:val="ListBullet"/>
        <w:spacing w:after="60"/>
      </w:pPr>
      <w:r>
        <w:rPr>
          <w:rFonts w:ascii="Arial" w:hAnsi="Arial"/>
          <w:b/>
          <w:color w:val="1F4E79"/>
          <w:sz w:val="22"/>
        </w:rPr>
        <w:t xml:space="preserve">PDF Reports &amp; Role-Based Access — </w:t>
      </w:r>
      <w:r>
        <w:rPr>
          <w:rFonts w:ascii="Arial" w:hAnsi="Arial"/>
          <w:sz w:val="22"/>
        </w:rPr>
        <w:t>exportable session reports and Teacher / HOD / Admin dashboards.</w:t>
      </w:r>
    </w:p>
    <w:p>
      <w:pPr>
        <w:pStyle w:val="ListBullet"/>
        <w:spacing w:after="60"/>
      </w:pPr>
      <w:r>
        <w:rPr>
          <w:rFonts w:ascii="Arial" w:hAnsi="Arial"/>
          <w:b/>
          <w:color w:val="1F4E79"/>
          <w:sz w:val="22"/>
        </w:rPr>
        <w:t xml:space="preserve">Privacy by Design — </w:t>
      </w:r>
      <w:r>
        <w:rPr>
          <w:rFonts w:ascii="Arial" w:hAnsi="Arial"/>
          <w:sz w:val="22"/>
        </w:rPr>
        <w:t>anonymous student IDs only — no facial identification or biometric storage.</w:t>
      </w:r>
    </w:p>
    <w:p>
      <w:pPr>
        <w:pStyle w:val="Heading2"/>
      </w:pPr>
      <w:r>
        <w:rPr>
          <w:rFonts w:ascii="Arial" w:hAnsi="Arial"/>
          <w:b/>
          <w:color w:val="1F4E79"/>
          <w:sz w:val="25"/>
        </w:rPr>
        <w:t>7.4 Discussion</w:t>
      </w:r>
    </w:p>
    <w:p>
      <w:pPr>
        <w:spacing w:after="120" w:line="293" w:lineRule="auto"/>
        <w:jc w:val="both"/>
      </w:pPr>
      <w:r>
        <w:rPr>
          <w:rFonts w:ascii="Arial" w:hAnsi="Arial"/>
          <w:b w:val="0"/>
          <w:i w:val="0"/>
          <w:sz w:val="22"/>
        </w:rPr>
        <w:t>The defining choice of this project was honesty over headline accuracy. Auditing the engagement model turned a 92.4% validation figure into a defensible 0.73 on unseen rooms; auditing collaboration turned an inflated early pair-level number into an honest 0.667/0.764 session result plus a clearly stated negative for pair-level. This discipline makes the system credible and deployable. The main limitations are Not-Engaged recall, the small number of collaboration sessions (hence wide confidence intervals), and the fact that the live collaboration verdict uses the 0.667 signals head — the 0.764 gaze variant runs offline because it needs per-frame head-pose extraction.</w:t>
      </w:r>
    </w:p>
    <w:p>
      <w:pPr>
        <w:pStyle w:val="Heading2"/>
      </w:pPr>
      <w:r>
        <w:rPr>
          <w:rFonts w:ascii="Arial" w:hAnsi="Arial"/>
          <w:b/>
          <w:color w:val="1F4E79"/>
          <w:sz w:val="25"/>
        </w:rPr>
        <w:t>7.5 Comparison with the Reference Baseline</w:t>
      </w:r>
    </w:p>
    <w:p>
      <w:pPr>
        <w:spacing w:after="120" w:line="293" w:lineRule="auto"/>
        <w:jc w:val="both"/>
      </w:pPr>
      <w:r>
        <w:rPr>
          <w:rFonts w:ascii="Arial" w:hAnsi="Arial"/>
          <w:b w:val="0"/>
          <w:i w:val="0"/>
          <w:sz w:val="22"/>
        </w:rPr>
        <w:t>The milestone reference was a single Swin image classifier reporting very high accuracy on a gaze dataset. Our system is deliberately broader and more conservative: it separates engagement from collaboration, evaluates without leakage, and ships a working application — trading an impressive but fragile benchmark number for a result that survives unseen classrooms.</w:t>
      </w:r>
    </w:p>
    <w:p>
      <w:r>
        <w:br w:type="page"/>
      </w:r>
    </w:p>
    <w:p>
      <w:pPr>
        <w:pStyle w:val="Heading1"/>
      </w:pPr>
      <w:r>
        <w:rPr>
          <w:rFonts w:ascii="Arial" w:hAnsi="Arial"/>
          <w:b/>
          <w:color w:val="1F4E79"/>
          <w:sz w:val="30"/>
        </w:rPr>
        <w:t>Chapter 8  ·  Conclusion and Future Scope</w:t>
      </w:r>
    </w:p>
    <w:p>
      <w:pPr>
        <w:pStyle w:val="Heading2"/>
      </w:pPr>
      <w:r>
        <w:rPr>
          <w:rFonts w:ascii="Arial" w:hAnsi="Arial"/>
          <w:b/>
          <w:color w:val="1F4E79"/>
          <w:sz w:val="25"/>
        </w:rPr>
        <w:t>8.1 Conclusion</w:t>
      </w:r>
    </w:p>
    <w:p>
      <w:pPr>
        <w:spacing w:after="120" w:line="293" w:lineRule="auto"/>
        <w:jc w:val="both"/>
      </w:pPr>
      <w:r>
        <w:rPr>
          <w:rFonts w:ascii="Arial" w:hAnsi="Arial"/>
          <w:b w:val="0"/>
          <w:i w:val="0"/>
          <w:sz w:val="22"/>
        </w:rPr>
        <w:t>Learning in Focus delivers a stable, generalisable and honestly-benchmarked system for measuring classroom engagement and collaboration. The engagement model reaches macro-F1 0.73 on five unseen classrooms; the collaboration model reaches 0.667 at the session level, improving to 0.764 with gaze. The models are deployed in EduLens, a real-time, privacy-preserving web application with live monitoring, analytics, alerts, an AI copilot and reporting. Every claim is tied to a leakage-free evaluation, and negative results are reported openly.</w:t>
      </w:r>
    </w:p>
    <w:p>
      <w:pPr>
        <w:pStyle w:val="Heading2"/>
      </w:pPr>
      <w:r>
        <w:rPr>
          <w:rFonts w:ascii="Arial" w:hAnsi="Arial"/>
          <w:b/>
          <w:color w:val="1F4E79"/>
          <w:sz w:val="25"/>
        </w:rPr>
        <w:t>8.2 Future Scope</w:t>
      </w:r>
    </w:p>
    <w:p>
      <w:pPr>
        <w:pStyle w:val="ListBullet"/>
        <w:spacing w:after="60"/>
      </w:pPr>
      <w:r>
        <w:rPr>
          <w:rFonts w:ascii="Arial" w:hAnsi="Arial"/>
          <w:sz w:val="22"/>
        </w:rPr>
        <w:t>Bring the gaze-augmented 0.764 collaboration model into the live app via efficient per-frame head-pose estimation.</w:t>
      </w:r>
    </w:p>
    <w:p>
      <w:pPr>
        <w:pStyle w:val="ListBullet"/>
        <w:spacing w:after="60"/>
      </w:pPr>
      <w:r>
        <w:rPr>
          <w:rFonts w:ascii="Arial" w:hAnsi="Arial"/>
          <w:sz w:val="22"/>
        </w:rPr>
        <w:t>Collect more labelled collaboration sessions to narrow the confidence interval and train a temporal collaboration model.</w:t>
      </w:r>
    </w:p>
    <w:p>
      <w:pPr>
        <w:pStyle w:val="ListBullet"/>
        <w:spacing w:after="60"/>
      </w:pPr>
      <w:r>
        <w:rPr>
          <w:rFonts w:ascii="Arial" w:hAnsi="Arial"/>
          <w:sz w:val="22"/>
        </w:rPr>
        <w:t>Improve Not-Engaged recall through targeted data and hard-example mining.</w:t>
      </w:r>
    </w:p>
    <w:p>
      <w:pPr>
        <w:pStyle w:val="ListBullet"/>
        <w:spacing w:after="60"/>
      </w:pPr>
      <w:r>
        <w:rPr>
          <w:rFonts w:ascii="Arial" w:hAnsi="Arial"/>
          <w:sz w:val="22"/>
        </w:rPr>
        <w:t>Extend to multi-camera classrooms and longer sessions, and add longitudinal per-student analytics.</w:t>
      </w:r>
    </w:p>
    <w:p>
      <w:pPr>
        <w:pStyle w:val="ListBullet"/>
        <w:spacing w:after="60"/>
      </w:pPr>
      <w:r>
        <w:rPr>
          <w:rFonts w:ascii="Arial" w:hAnsi="Arial"/>
          <w:sz w:val="22"/>
        </w:rPr>
        <w:t>Explore richer collaboration structure (who-with-whom) once sufficient, leakage-controlled data exists.</w:t>
      </w:r>
    </w:p>
    <w:p>
      <w:r>
        <w:br w:type="page"/>
      </w:r>
    </w:p>
    <w:p>
      <w:pPr>
        <w:pStyle w:val="Heading1"/>
      </w:pPr>
      <w:r>
        <w:rPr>
          <w:rFonts w:ascii="Arial" w:hAnsi="Arial"/>
          <w:b/>
          <w:color w:val="1F4E79"/>
          <w:sz w:val="30"/>
        </w:rPr>
        <w:t>References</w:t>
      </w:r>
    </w:p>
    <w:p>
      <w:pPr>
        <w:pStyle w:val="ListNumber"/>
        <w:spacing w:after="60"/>
      </w:pPr>
      <w:r>
        <w:rPr>
          <w:rFonts w:ascii="Arial" w:hAnsi="Arial"/>
          <w:sz w:val="22"/>
        </w:rPr>
        <w:t>A. Dosovitskiy et al., “An Image is Worth 16×16 Words: Transformers for Image Recognition at Scale,” ICLR, 2021.</w:t>
      </w:r>
    </w:p>
    <w:p>
      <w:pPr>
        <w:pStyle w:val="ListNumber"/>
        <w:spacing w:after="60"/>
      </w:pPr>
      <w:r>
        <w:rPr>
          <w:rFonts w:ascii="Arial" w:hAnsi="Arial"/>
          <w:sz w:val="22"/>
        </w:rPr>
        <w:t>Z. Liu et al., “Swin Transformer: Hierarchical Vision Transformer using Shifted Windows,” ICCV, 2021.</w:t>
      </w:r>
    </w:p>
    <w:p>
      <w:pPr>
        <w:pStyle w:val="ListNumber"/>
        <w:spacing w:after="60"/>
      </w:pPr>
      <w:r>
        <w:rPr>
          <w:rFonts w:ascii="Arial" w:hAnsi="Arial"/>
          <w:sz w:val="22"/>
        </w:rPr>
        <w:t>A. Gupta et al., “DAiSEE: Towards User Engagement Recognition in the Wild,” 2016.</w:t>
      </w:r>
    </w:p>
    <w:p>
      <w:pPr>
        <w:pStyle w:val="ListNumber"/>
        <w:spacing w:after="60"/>
      </w:pPr>
      <w:r>
        <w:rPr>
          <w:rFonts w:ascii="Arial" w:hAnsi="Arial"/>
          <w:sz w:val="22"/>
        </w:rPr>
        <w:t>Y. Zhang et al., “ByteTrack: Multi-Object Tracking by Associating Every Detection Box,” ECCV, 2022.</w:t>
      </w:r>
    </w:p>
    <w:p>
      <w:pPr>
        <w:pStyle w:val="ListNumber"/>
        <w:spacing w:after="60"/>
      </w:pPr>
      <w:r>
        <w:rPr>
          <w:rFonts w:ascii="Arial" w:hAnsi="Arial"/>
          <w:sz w:val="22"/>
        </w:rPr>
        <w:t>Ultralytics, “YOLOv8,” 2023.</w:t>
      </w:r>
    </w:p>
    <w:p>
      <w:pPr>
        <w:pStyle w:val="ListNumber"/>
        <w:spacing w:after="60"/>
      </w:pPr>
      <w:r>
        <w:rPr>
          <w:rFonts w:ascii="Arial" w:hAnsi="Arial"/>
          <w:sz w:val="22"/>
        </w:rPr>
        <w:t>J. Deng et al., “InsightFace / ArcFace: Additive Angular Margin Loss for Deep Face Recognition,” CVPR, 2019.</w:t>
      </w:r>
    </w:p>
    <w:p>
      <w:pPr>
        <w:pStyle w:val="ListNumber"/>
        <w:spacing w:after="60"/>
      </w:pPr>
      <w:r>
        <w:rPr>
          <w:rFonts w:ascii="Arial" w:hAnsi="Arial"/>
          <w:sz w:val="22"/>
        </w:rPr>
        <w:t>Internal project reports: Honest LOVO Result; Phase-2 Collaboration (signals + gaze); Engagement Honest Test; EduLens Deployment.</w:t>
      </w:r>
    </w:p>
    <w:sectPr w:rsidR="00FC693F" w:rsidRPr="0006063C" w:rsidSect="00034616">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