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2D3D"/>
          <w:sz w:val="72"/>
          <w:szCs w:val="72"/>
        </w:rPr>
        <w:t xml:space="preserve">TalentIQ</w:t>
      </w:r>
    </w:p>
    <w:p>
      <w:pPr>
        <w:spacing w:after="100" w:before="200"/>
        <w:jc w:val="center"/>
      </w:pPr>
      <w:r>
        <w:rPr>
          <w:i/>
          <w:iCs/>
          <w:color w:val="2E5C8A"/>
          <w:sz w:val="26"/>
          <w:szCs w:val="26"/>
        </w:rPr>
        <w:t xml:space="preserve">Système d’analyse de CV et d’estimation salariale par intelligence artificielle</w:t>
      </w:r>
    </w:p>
    <w:p>
      <w:pPr>
        <w:pBdr>
          <w:bottom w:val="single" w:color="BFBFBF" w:sz="6" w:space="8"/>
        </w:pBdr>
        <w:spacing w:before="100"/>
        <w:jc w:val="center"/>
      </w:pPr>
      <w:r>
        <w:rPr>
          <w:sz w:val="24"/>
          <w:szCs w:val="24"/>
        </w:rPr>
        <w:t xml:space="preserve">Rapport de Projet Technologique</w:t>
      </w:r>
    </w:p>
    <w:p>
      <w:pPr>
        <w:spacing w:before="1600"/>
      </w:pPr>
    </w:p>
    <w:p>
      <w:pPr>
        <w:spacing w:after="80"/>
        <w:jc w:val="center"/>
      </w:pPr>
      <w:r>
        <w:rPr>
          <w:b/>
          <w:bCs/>
          <w:sz w:val="22"/>
          <w:szCs w:val="22"/>
        </w:rPr>
        <w:t xml:space="preserve">Réalisé par</w:t>
      </w:r>
    </w:p>
    <w:p>
      <w:pPr>
        <w:spacing w:after="40"/>
        <w:jc w:val="center"/>
      </w:pPr>
      <w:r>
        <w:rPr>
          <w:sz w:val="24"/>
          <w:szCs w:val="24"/>
        </w:rPr>
        <w:t xml:space="preserve">Anas Bahraoui</w:t>
      </w:r>
    </w:p>
    <w:p>
      <w:pPr>
        <w:spacing w:after="320"/>
        <w:jc w:val="center"/>
      </w:pPr>
      <w:r>
        <w:rPr>
          <w:sz w:val="24"/>
          <w:szCs w:val="24"/>
        </w:rPr>
        <w:t xml:space="preserve">Ilyass ElMaataoui</w:t>
      </w:r>
    </w:p>
    <w:p>
      <w:pPr>
        <w:spacing w:after="80"/>
        <w:jc w:val="center"/>
      </w:pPr>
      <w:r>
        <w:rPr>
          <w:b/>
          <w:bCs/>
          <w:sz w:val="22"/>
          <w:szCs w:val="22"/>
        </w:rPr>
        <w:t xml:space="preserve">Encadré par</w:t>
      </w:r>
    </w:p>
    <w:p>
      <w:pPr>
        <w:spacing w:after="320"/>
        <w:jc w:val="center"/>
      </w:pPr>
      <w:r>
        <w:rPr>
          <w:sz w:val="24"/>
          <w:szCs w:val="24"/>
        </w:rPr>
        <w:t xml:space="preserve">Mohammed Boutabia</w:t>
      </w:r>
    </w:p>
    <w:p>
      <w:pPr>
        <w:spacing w:after="40"/>
        <w:jc w:val="center"/>
      </w:pPr>
      <w:r>
        <w:rPr>
          <w:sz w:val="22"/>
          <w:szCs w:val="22"/>
        </w:rPr>
        <w:t xml:space="preserve">Module : Projet Technologique</w:t>
      </w:r>
    </w:p>
    <w:p>
      <w:pPr>
        <w:jc w:val="center"/>
      </w:pPr>
      <w:r>
        <w:rPr>
          <w:sz w:val="22"/>
          <w:szCs w:val="22"/>
        </w:rPr>
        <w:t xml:space="preserve">Année scolaire : 2025-2026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générale</w:t>
      </w:r>
    </w:p>
    <w:p>
      <w:pPr>
        <w:pStyle w:val="Heading2"/>
      </w:pPr>
      <w:r>
        <w:t xml:space="preserve">1.1 Contexte</w:t>
      </w:r>
    </w:p>
    <w:p>
      <w:pPr>
        <w:spacing w:after="160" w:line="276"/>
        <w:jc w:val="both"/>
      </w:pPr>
      <w:r>
        <w:rPr>
          <w:i w:val="false"/>
          <w:iCs w:val="false"/>
        </w:rPr>
        <w:t xml:space="preserve">Le marché de l’emploi dans les domaines de la data science et de l’intelligence artificielle connaît une croissance rapide. Cette expansion s’accompagne d’une forte hétérogénéité dans les niveaux de rémunération, qui varient selon le poste occupé, le pays, le niveau d’expérience, la taille de l’entreprise et le secteur d’activité. Pour un candidat ou un recruteur, il est souvent difficile d’évaluer objectivement la valeur marché d’un profil professionnel sans disposer d’un point de comparaison fiable.</w:t>
      </w:r>
    </w:p>
    <w:p>
      <w:pPr>
        <w:pStyle w:val="Heading2"/>
      </w:pPr>
      <w:r>
        <w:t xml:space="preserve">1.2 Problématique</w:t>
      </w:r>
    </w:p>
    <w:p>
      <w:pPr>
        <w:spacing w:after="160" w:line="276"/>
        <w:jc w:val="both"/>
      </w:pPr>
      <w:r>
        <w:rPr>
          <w:i w:val="false"/>
          <w:iCs w:val="false"/>
        </w:rPr>
        <w:t xml:space="preserve">Comment estimer de manière objective et automatisée le salaire correspondant à un profil professionnel donné, à partir des informations qu’il contient (poste, expérience, localisation, formation, compétences), et comment restituer cette estimation de façon claire et exploitable pour l’utilisateur ?</w:t>
      </w:r>
    </w:p>
    <w:p>
      <w:pPr>
        <w:pStyle w:val="Heading2"/>
      </w:pPr>
      <w:r>
        <w:t xml:space="preserve">1.3 Objectifs du projet</w:t>
      </w:r>
    </w:p>
    <w:p>
      <w:pPr>
        <w:pStyle w:val="ListParagraph"/>
        <w:numPr>
          <w:ilvl w:val="0"/>
          <w:numId w:val="2"/>
        </w:numPr>
        <w:spacing w:after="100" w:line="276"/>
      </w:pPr>
      <w:r>
        <w:t xml:space="preserve">Concevoir un modèle de machine learning capable d’estimer un salaire à partir des caractéristiques structurées d’un profil professionnel.</w:t>
      </w:r>
    </w:p>
    <w:p>
      <w:pPr>
        <w:pStyle w:val="ListParagraph"/>
        <w:numPr>
          <w:ilvl w:val="0"/>
          <w:numId w:val="2"/>
        </w:numPr>
        <w:spacing w:after="100" w:line="276"/>
      </w:pPr>
      <w:r>
        <w:t xml:space="preserve">Automatiser l’extraction de ces caractéristiques directement depuis un CV au format PDF, sans saisie manuelle.</w:t>
      </w:r>
    </w:p>
    <w:p>
      <w:pPr>
        <w:pStyle w:val="ListParagraph"/>
        <w:numPr>
          <w:ilvl w:val="0"/>
          <w:numId w:val="2"/>
        </w:numPr>
        <w:spacing w:after="100" w:line="276"/>
      </w:pPr>
      <w:r>
        <w:t xml:space="preserve">Restituer le résultat sous une forme exploitable : salaire estimé, score de profil, percentile, position par rapport au marché.</w:t>
      </w:r>
    </w:p>
    <w:p>
      <w:pPr>
        <w:pStyle w:val="ListParagraph"/>
        <w:numPr>
          <w:ilvl w:val="0"/>
          <w:numId w:val="2"/>
        </w:numPr>
        <w:spacing w:after="100" w:line="276"/>
      </w:pPr>
      <w:r>
        <w:t xml:space="preserve">Déployer une application complète et fonctionnelle (backend, frontend, modèle) accessible publiquement.</w:t>
      </w:r>
    </w:p>
    <w:p>
      <w:r>
        <w:br w:type="page"/>
      </w:r>
    </w:p>
    <w:p>
      <w:pPr>
        <w:pStyle w:val="Heading1"/>
      </w:pPr>
      <w:r>
        <w:t xml:space="preserve">2. Présentation du projet</w:t>
      </w:r>
    </w:p>
    <w:p>
      <w:pPr>
        <w:pStyle w:val="Heading2"/>
      </w:pPr>
      <w:r>
        <w:t xml:space="preserve">2.1 Vision du projet</w:t>
      </w:r>
    </w:p>
    <w:p>
      <w:pPr>
        <w:spacing w:after="160" w:line="276"/>
        <w:jc w:val="both"/>
      </w:pPr>
      <w:r>
        <w:rPr>
          <w:i w:val="false"/>
          <w:iCs w:val="false"/>
        </w:rPr>
        <w:t xml:space="preserve">TalentIQ est une application web qui permet à un utilisateur d’importer son CV au format PDF et d’obtenir, en quelques secondes, une estimation de son salaire de marché ainsi qu’une analyse de son profil professionnel. L’application combine un modèle de machine learning entraîné sur des données salariales et un modèle de langage (LLM) chargé d’extraire automatiquement les informations pertinentes du CV.</w:t>
      </w:r>
    </w:p>
    <w:p>
      <w:pPr>
        <w:pStyle w:val="Heading2"/>
      </w:pPr>
      <w:r>
        <w:t xml:space="preserve">2.2 Fonctionnalités principales</w:t>
      </w:r>
    </w:p>
    <w:p>
      <w:pPr>
        <w:pStyle w:val="ListParagraph"/>
        <w:numPr>
          <w:ilvl w:val="0"/>
          <w:numId w:val="2"/>
        </w:numPr>
        <w:spacing w:after="100" w:line="276"/>
      </w:pPr>
      <w:r>
        <w:t xml:space="preserve">Import d’un CV au format PDF et extraction automatique du profil (poste, expérience, formation, compétences, langues, certifications).</w:t>
      </w:r>
    </w:p>
    <w:p>
      <w:pPr>
        <w:pStyle w:val="ListParagraph"/>
        <w:numPr>
          <w:ilvl w:val="0"/>
          <w:numId w:val="2"/>
        </w:numPr>
        <w:spacing w:after="100" w:line="276"/>
      </w:pPr>
      <w:r>
        <w:t xml:space="preserve">Estimation du salaire à partir du profil extrait.</w:t>
      </w:r>
    </w:p>
    <w:p>
      <w:pPr>
        <w:pStyle w:val="ListParagraph"/>
        <w:numPr>
          <w:ilvl w:val="0"/>
          <w:numId w:val="2"/>
        </w:numPr>
        <w:spacing w:after="100" w:line="276"/>
      </w:pPr>
      <w:r>
        <w:t xml:space="preserve">Calcul d’un score de profil et d’un percentile par rapport au marché.</w:t>
      </w:r>
    </w:p>
    <w:p>
      <w:pPr>
        <w:pStyle w:val="ListParagraph"/>
        <w:numPr>
          <w:ilvl w:val="0"/>
          <w:numId w:val="2"/>
        </w:numPr>
        <w:spacing w:after="100" w:line="276"/>
      </w:pPr>
      <w:r>
        <w:t xml:space="preserve">Positionnement du profil par rapport à la médiane du marché (sous le marché, moyenne, au-dessus, élite).</w:t>
      </w:r>
    </w:p>
    <w:p>
      <w:pPr>
        <w:pStyle w:val="ListParagraph"/>
        <w:numPr>
          <w:ilvl w:val="0"/>
          <w:numId w:val="2"/>
        </w:numPr>
        <w:spacing w:after="100" w:line="276"/>
      </w:pPr>
      <w:r>
        <w:t xml:space="preserve">Comparaison du salaire médian selon le niveau de séniorité pour le poste identifié, sous forme de graphique.</w:t>
      </w:r>
    </w:p>
    <w:p>
      <w:pPr>
        <w:pStyle w:val="Heading2"/>
      </w:pPr>
      <w:r>
        <w:t xml:space="preserve">2.3 Technologies utilisées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BFBF" w:sz="2"/>
              <w:left w:val="single" w:color="BFBFBF" w:sz="2"/>
              <w:bottom w:val="single" w:color="BFBFBF" w:sz="2"/>
              <w:right w:val="single" w:color="BFBFBF" w:sz="2"/>
            </w:tcBorders>
            <w:shd w:fill="1F2D3D" w:val="clear"/>
            <w:tcMar>
              <w:top w:type="dxa" w:w="100"/>
              <w:left w:type="dxa" w:w="140"/>
              <w:bottom w:type="dxa" w:w="100"/>
              <w:right w:type="dxa" w:w="140"/>
            </w:tcMar>
            <w:vAlign w:val="center"/>
          </w:tcPr>
          <w:p>
            <w:r>
              <w:rPr>
                <w:b/>
                <w:bCs/>
                <w:color w:val="FFFFFF"/>
                <w:sz w:val="21"/>
                <w:szCs w:val="21"/>
              </w:rPr>
              <w:t xml:space="preserve">Composant</w:t>
            </w:r>
          </w:p>
        </w:tc>
        <w:tc>
          <w:tcPr>
            <w:tcW w:type="dxa" w:w="6000"/>
            <w:tcBorders>
              <w:top w:val="single" w:color="BFBFBF" w:sz="2"/>
              <w:left w:val="single" w:color="BFBFBF" w:sz="2"/>
              <w:bottom w:val="single" w:color="BFBFBF" w:sz="2"/>
              <w:right w:val="single" w:color="BFBFBF" w:sz="2"/>
            </w:tcBorders>
            <w:shd w:fill="1F2D3D" w:val="clear"/>
            <w:tcMar>
              <w:top w:type="dxa" w:w="100"/>
              <w:left w:type="dxa" w:w="140"/>
              <w:bottom w:type="dxa" w:w="100"/>
              <w:right w:type="dxa" w:w="140"/>
            </w:tcMar>
            <w:vAlign w:val="center"/>
          </w:tcPr>
          <w:p>
            <w:r>
              <w:rPr>
                <w:b/>
                <w:bCs/>
                <w:color w:val="FFFFFF"/>
                <w:sz w:val="21"/>
                <w:szCs w:val="21"/>
              </w:rPr>
              <w:t xml:space="preserve">Technologie</w:t>
            </w:r>
          </w:p>
        </w:tc>
      </w:tr>
      <w:tr>
        <w:tc>
          <w:tcPr>
            <w:tcW w:type="dxa" w:w="336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Frontend</w:t>
            </w:r>
          </w:p>
        </w:tc>
        <w:tc>
          <w:tcPr>
            <w:tcW w:type="dxa" w:w="600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React, Vite, Tailwind CSS, Recharts</w:t>
            </w:r>
          </w:p>
        </w:tc>
      </w:tr>
      <w:tr>
        <w:tc>
          <w:tcPr>
            <w:tcW w:type="dxa" w:w="336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Backend</w:t>
            </w:r>
          </w:p>
        </w:tc>
        <w:tc>
          <w:tcPr>
            <w:tcW w:type="dxa" w:w="600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FastAPI (Python)</w:t>
            </w:r>
          </w:p>
        </w:tc>
      </w:tr>
      <w:tr>
        <w:tc>
          <w:tcPr>
            <w:tcW w:type="dxa" w:w="336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Modèle de prédiction</w:t>
            </w:r>
          </w:p>
        </w:tc>
        <w:tc>
          <w:tcPr>
            <w:tcW w:type="dxa" w:w="600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scikit-learn — HistGradientBoostingRegressor</w:t>
            </w:r>
          </w:p>
        </w:tc>
      </w:tr>
      <w:tr>
        <w:tc>
          <w:tcPr>
            <w:tcW w:type="dxa" w:w="336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Extraction de CV</w:t>
            </w:r>
          </w:p>
        </w:tc>
        <w:tc>
          <w:tcPr>
            <w:tcW w:type="dxa" w:w="600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OpenAI GPT-4.1 (API), pdfplumber</w:t>
            </w:r>
          </w:p>
        </w:tc>
      </w:tr>
      <w:tr>
        <w:tc>
          <w:tcPr>
            <w:tcW w:type="dxa" w:w="336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Déploiement</w:t>
            </w:r>
          </w:p>
        </w:tc>
        <w:tc>
          <w:tcPr>
            <w:tcW w:type="dxa" w:w="600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Vercel (frontend), Railway (backend)</w:t>
            </w:r>
          </w:p>
        </w:tc>
      </w:tr>
    </w:tbl>
    <w:p>
      <w:r>
        <w:br w:type="page"/>
      </w:r>
    </w:p>
    <w:p>
      <w:pPr>
        <w:pStyle w:val="Heading1"/>
      </w:pPr>
      <w:r>
        <w:t xml:space="preserve">3. Le jeu de données</w:t>
      </w:r>
    </w:p>
    <w:p>
      <w:pPr>
        <w:pStyle w:val="Heading2"/>
      </w:pPr>
      <w:r>
        <w:t xml:space="preserve">3.1 Source et structure</w:t>
      </w:r>
    </w:p>
    <w:p>
      <w:pPr>
        <w:spacing w:after="160" w:line="276"/>
        <w:jc w:val="both"/>
      </w:pPr>
      <w:r>
        <w:rPr>
          <w:i w:val="false"/>
          <w:iCs w:val="false"/>
        </w:rPr>
        <w:t xml:space="preserve">Le modèle est entraîné sur un jeu de données de 50 000 offres d’emploi dans les domaines de la data et de l’intelligence artificielle (jobs.csv). Chaque ligne représente une offre caractérisée par 14 colonnes brutes : un identifiant, le poste, le type d’entreprise, le secteur d’activité, le pays, la ville, le type de télétravail, le niveau d’expérience, le nombre d’années d’expérience minimum requis, une fourchette salariale (minimum et maximum en USD), le type de contrat, l’année de publication et la taille de l’entreprise.</w:t>
      </w:r>
    </w:p>
    <w:p>
      <w:pPr>
        <w:pStyle w:val="Heading2"/>
      </w:pPr>
      <w:r>
        <w:t xml:space="preserve">3.2 Variables retenues pour l’entraînement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2"/>
              <w:left w:val="single" w:color="BFBFBF" w:sz="2"/>
              <w:bottom w:val="single" w:color="BFBFBF" w:sz="2"/>
              <w:right w:val="single" w:color="BFBFBF" w:sz="2"/>
            </w:tcBorders>
            <w:shd w:fill="1F2D3D" w:val="clear"/>
            <w:tcMar>
              <w:top w:type="dxa" w:w="100"/>
              <w:left w:type="dxa" w:w="140"/>
              <w:bottom w:type="dxa" w:w="100"/>
              <w:right w:type="dxa" w:w="140"/>
            </w:tcMar>
            <w:vAlign w:val="center"/>
          </w:tcPr>
          <w:p>
            <w:r>
              <w:rPr>
                <w:b/>
                <w:bCs/>
                <w:color w:val="FFFFFF"/>
                <w:sz w:val="21"/>
                <w:szCs w:val="21"/>
              </w:rPr>
              <w:t xml:space="preserve">Variable</w:t>
            </w:r>
          </w:p>
        </w:tc>
        <w:tc>
          <w:tcPr>
            <w:tcW w:type="dxa" w:w="6560"/>
            <w:tcBorders>
              <w:top w:val="single" w:color="BFBFBF" w:sz="2"/>
              <w:left w:val="single" w:color="BFBFBF" w:sz="2"/>
              <w:bottom w:val="single" w:color="BFBFBF" w:sz="2"/>
              <w:right w:val="single" w:color="BFBFBF" w:sz="2"/>
            </w:tcBorders>
            <w:shd w:fill="1F2D3D" w:val="clear"/>
            <w:tcMar>
              <w:top w:type="dxa" w:w="100"/>
              <w:left w:type="dxa" w:w="140"/>
              <w:bottom w:type="dxa" w:w="100"/>
              <w:right w:type="dxa" w:w="140"/>
            </w:tcMar>
            <w:vAlign w:val="center"/>
          </w:tcPr>
          <w:p>
            <w:r>
              <w:rPr>
                <w:b/>
                <w:bCs/>
                <w:color w:val="FFFFFF"/>
                <w:sz w:val="21"/>
                <w:szCs w:val="21"/>
              </w:rPr>
              <w:t xml:space="preserve">Description</w:t>
            </w:r>
          </w:p>
        </w:tc>
      </w:tr>
      <w:tr>
        <w:tc>
          <w:tcPr>
            <w:tcW w:type="dxa" w:w="280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job_title</w:t>
            </w:r>
          </w:p>
        </w:tc>
        <w:tc>
          <w:tcPr>
            <w:tcW w:type="dxa" w:w="656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Poste occupé (6 valeurs : AI Researcher, Applied Scientist, Data Analyst, Data Scientist, MLOps Engineer, Machine Learning Engineer)</w:t>
            </w:r>
          </w:p>
        </w:tc>
      </w:tr>
      <w:tr>
        <w:tc>
          <w:tcPr>
            <w:tcW w:type="dxa" w:w="280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industry</w:t>
            </w:r>
          </w:p>
        </w:tc>
        <w:tc>
          <w:tcPr>
            <w:tcW w:type="dxa" w:w="656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Secteur d’activité (5 valeurs : Education, Finance, Healthcare, Retail, Tech)</w:t>
            </w:r>
          </w:p>
        </w:tc>
      </w:tr>
      <w:tr>
        <w:tc>
          <w:tcPr>
            <w:tcW w:type="dxa" w:w="280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country</w:t>
            </w:r>
          </w:p>
        </w:tc>
        <w:tc>
          <w:tcPr>
            <w:tcW w:type="dxa" w:w="656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Pays (6 valeurs : USA, UK, Canada, Germany, India, Australia)</w:t>
            </w:r>
          </w:p>
        </w:tc>
      </w:tr>
      <w:tr>
        <w:tc>
          <w:tcPr>
            <w:tcW w:type="dxa" w:w="280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city</w:t>
            </w:r>
          </w:p>
        </w:tc>
        <w:tc>
          <w:tcPr>
            <w:tcW w:type="dxa" w:w="656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Ville (24 valeurs)</w:t>
            </w:r>
          </w:p>
        </w:tc>
      </w:tr>
      <w:tr>
        <w:tc>
          <w:tcPr>
            <w:tcW w:type="dxa" w:w="280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remote_type</w:t>
            </w:r>
          </w:p>
        </w:tc>
        <w:tc>
          <w:tcPr>
            <w:tcW w:type="dxa" w:w="656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Mode de travail (Remote, Hybrid, Onsite)</w:t>
            </w:r>
          </w:p>
        </w:tc>
      </w:tr>
      <w:tr>
        <w:tc>
          <w:tcPr>
            <w:tcW w:type="dxa" w:w="280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company_type / company_size</w:t>
            </w:r>
          </w:p>
        </w:tc>
        <w:tc>
          <w:tcPr>
            <w:tcW w:type="dxa" w:w="656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Type et taille de l’entreprise (Large, Medium, Small)</w:t>
            </w:r>
          </w:p>
        </w:tc>
      </w:tr>
      <w:tr>
        <w:tc>
          <w:tcPr>
            <w:tcW w:type="dxa" w:w="280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min_experience_years</w:t>
            </w:r>
          </w:p>
        </w:tc>
        <w:tc>
          <w:tcPr>
            <w:tcW w:type="dxa" w:w="656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Expérience minimale requise, en années (0 à 5)</w:t>
            </w:r>
          </w:p>
        </w:tc>
      </w:tr>
      <w:tr>
        <w:tc>
          <w:tcPr>
            <w:tcW w:type="dxa" w:w="280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employment_type</w:t>
            </w:r>
          </w:p>
        </w:tc>
        <w:tc>
          <w:tcPr>
            <w:tcW w:type="dxa" w:w="656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Type de contrat (une seule valeur observée : Full-time)</w:t>
            </w:r>
          </w:p>
        </w:tc>
      </w:tr>
      <w:tr>
        <w:tc>
          <w:tcPr>
            <w:tcW w:type="dxa" w:w="280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salary (cible)</w:t>
            </w:r>
          </w:p>
        </w:tc>
        <w:tc>
          <w:tcPr>
            <w:tcW w:type="dxa" w:w="656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Moyenne de salary_min_usd et salary_max_usd</w:t>
            </w:r>
          </w:p>
        </w:tc>
      </w:tr>
    </w:tbl>
    <w:p>
      <w:pPr>
        <w:pStyle w:val="Heading2"/>
      </w:pPr>
      <w:r>
        <w:t xml:space="preserve">3.3 Statistiques descriptives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2"/>
              <w:left w:val="single" w:color="BFBFBF" w:sz="2"/>
              <w:bottom w:val="single" w:color="BFBFBF" w:sz="2"/>
              <w:right w:val="single" w:color="BFBFBF" w:sz="2"/>
            </w:tcBorders>
            <w:shd w:fill="1F2D3D" w:val="clear"/>
            <w:tcMar>
              <w:top w:type="dxa" w:w="100"/>
              <w:left w:type="dxa" w:w="140"/>
              <w:bottom w:type="dxa" w:w="100"/>
              <w:right w:type="dxa" w:w="140"/>
            </w:tcMar>
            <w:vAlign w:val="center"/>
          </w:tcPr>
          <w:p>
            <w:r>
              <w:rPr>
                <w:b/>
                <w:bCs/>
                <w:color w:val="FFFFFF"/>
                <w:sz w:val="21"/>
                <w:szCs w:val="21"/>
              </w:rPr>
              <w:t xml:space="preserve">Indicateur</w:t>
            </w:r>
          </w:p>
        </w:tc>
        <w:tc>
          <w:tcPr>
            <w:tcW w:type="dxa" w:w="4680"/>
            <w:tcBorders>
              <w:top w:val="single" w:color="BFBFBF" w:sz="2"/>
              <w:left w:val="single" w:color="BFBFBF" w:sz="2"/>
              <w:bottom w:val="single" w:color="BFBFBF" w:sz="2"/>
              <w:right w:val="single" w:color="BFBFBF" w:sz="2"/>
            </w:tcBorders>
            <w:shd w:fill="1F2D3D" w:val="clear"/>
            <w:tcMar>
              <w:top w:type="dxa" w:w="100"/>
              <w:left w:type="dxa" w:w="140"/>
              <w:bottom w:type="dxa" w:w="100"/>
              <w:right w:type="dxa" w:w="140"/>
            </w:tcMar>
            <w:vAlign w:val="center"/>
          </w:tcPr>
          <w:p>
            <w:r>
              <w:rPr>
                <w:b/>
                <w:bCs/>
                <w:color w:val="FFFFFF"/>
                <w:sz w:val="21"/>
                <w:szCs w:val="21"/>
              </w:rPr>
              <w:t xml:space="preserve">Valeur</w:t>
            </w:r>
          </w:p>
        </w:tc>
      </w:tr>
      <w:tr>
        <w:tc>
          <w:tcPr>
            <w:tcW w:type="dxa" w:w="468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Salaire minimum</w:t>
            </w:r>
          </w:p>
        </w:tc>
        <w:tc>
          <w:tcPr>
            <w:tcW w:type="dxa" w:w="468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57 608 $</w:t>
            </w:r>
          </w:p>
        </w:tc>
      </w:tr>
      <w:tr>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Salaire maximum</w:t>
            </w:r>
          </w:p>
        </w:tc>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167 468 $</w:t>
            </w:r>
          </w:p>
        </w:tc>
      </w:tr>
      <w:tr>
        <w:tc>
          <w:tcPr>
            <w:tcW w:type="dxa" w:w="468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Salaire moyen</w:t>
            </w:r>
          </w:p>
        </w:tc>
        <w:tc>
          <w:tcPr>
            <w:tcW w:type="dxa" w:w="468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110 865 $</w:t>
            </w:r>
          </w:p>
        </w:tc>
      </w:tr>
      <w:tr>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Salaire médian (Q50)</w:t>
            </w:r>
          </w:p>
        </w:tc>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107 565 $</w:t>
            </w:r>
          </w:p>
        </w:tc>
      </w:tr>
      <w:tr>
        <w:tc>
          <w:tcPr>
            <w:tcW w:type="dxa" w:w="468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25e percentile (Q25)</w:t>
            </w:r>
          </w:p>
        </w:tc>
        <w:tc>
          <w:tcPr>
            <w:tcW w:type="dxa" w:w="468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70 674 $</w:t>
            </w:r>
          </w:p>
        </w:tc>
      </w:tr>
      <w:tr>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75e percentile (Q75)</w:t>
            </w:r>
          </w:p>
        </w:tc>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154 332 $</w:t>
            </w:r>
          </w:p>
        </w:tc>
      </w:tr>
      <w:tr>
        <w:tc>
          <w:tcPr>
            <w:tcW w:type="dxa" w:w="468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90e percentile (Q90)</w:t>
            </w:r>
          </w:p>
        </w:tc>
        <w:tc>
          <w:tcPr>
            <w:tcW w:type="dxa" w:w="4680"/>
            <w:tcBorders>
              <w:top w:val="single" w:color="BFBFBF" w:sz="2"/>
              <w:left w:val="single" w:color="BFBFBF" w:sz="2"/>
              <w:bottom w:val="single" w:color="BFBFBF" w:sz="2"/>
              <w:right w:val="single" w:color="BFBFBF" w:sz="2"/>
            </w:tcBorders>
            <w:shd w:fill="F4F6F8" w:val="clear"/>
            <w:tcMar>
              <w:top w:type="dxa" w:w="100"/>
              <w:left w:type="dxa" w:w="140"/>
              <w:bottom w:type="dxa" w:w="100"/>
              <w:right w:type="dxa" w:w="140"/>
            </w:tcMar>
            <w:vAlign w:val="center"/>
          </w:tcPr>
          <w:p>
            <w:r>
              <w:rPr>
                <w:b w:val="false"/>
                <w:bCs w:val="false"/>
                <w:sz w:val="21"/>
                <w:szCs w:val="21"/>
              </w:rPr>
              <w:t xml:space="preserve">160 015 $</w:t>
            </w:r>
          </w:p>
        </w:tc>
      </w:tr>
      <w:tr>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95e percentile (Q95)</w:t>
            </w:r>
          </w:p>
        </w:tc>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162 202 $</w:t>
            </w:r>
          </w:p>
        </w:tc>
      </w:tr>
    </w:tbl>
    <w:p>
      <w:pPr>
        <w:spacing w:after="160" w:line="276"/>
        <w:jc w:val="both"/>
      </w:pPr>
      <w:r>
        <w:rPr>
          <w:i/>
          <w:iCs/>
        </w:rPr>
        <w:t xml:space="preserve">Ces quantiles ne sont pas de simples statistiques descriptives : ils correspondent exactement aux seuils Q25 à Q95 calculés en direct par le backend (à partir de cleaned_jobs.csv) pour produire le score de profil, le percentile et la position marché affichés dans l’application.</w:t>
      </w:r>
    </w:p>
    <w:p>
      <w:pPr>
        <w:pStyle w:val="Heading2"/>
      </w:pPr>
      <w:r>
        <w:t xml:space="preserve">3.4 Particularité du jeu de données</w:t>
      </w:r>
    </w:p>
    <w:p>
      <w:pPr>
        <w:spacing w:after="160" w:line="276"/>
        <w:jc w:val="both"/>
      </w:pPr>
      <w:r>
        <w:rPr>
          <w:i w:val="false"/>
          <w:iCs w:val="false"/>
        </w:rPr>
        <w:t xml:space="preserve">Une analyse du jeu de données montre qu’il ne contient aucune valeur manquante et qu’aucune ligne n’est éliminée par le filtre de salaire aberrant (20 000 $ – 400 000 $) : les 50 000 lignes passent l’intégralité du pipeline de nettoyage sans perte. Combiné à un nombre restreint de valeurs catégorielles (6 postes, 6 pays, 5 secteurs, 24 villes) et à une variable employment_type strictement constante, ce constat indique un jeu de données généré de façon synthétique plutôt que collecté sur le terrain. Cette observation est importante pour interpréter correctement les performances du modèle présentées dans la section consacrée à la modélisation (R² ≈ 0,987) : un score aussi élevé reflète en grande partie la régularité du jeu de données, et pas uniquement la qualité du modèle.</w:t>
      </w:r>
    </w:p>
    <w:p>
      <w:r>
        <w:br w:type="page"/>
      </w:r>
    </w:p>
    <w:p>
      <w:pPr>
        <w:pStyle w:val="Heading1"/>
      </w:pPr>
      <w:r>
        <w:t xml:space="preserve">4. Pipeline de nettoyage des données</w:t>
      </w:r>
    </w:p>
    <w:p>
      <w:pPr>
        <w:spacing w:after="160" w:line="276"/>
        <w:jc w:val="both"/>
      </w:pPr>
      <w:r>
        <w:rPr>
          <w:i w:val="false"/>
          <w:iCs w:val="false"/>
        </w:rPr>
        <w:t xml:space="preserve">Le nettoyage du jeu de données brut (jobs.csv) est implémenté dans scripts/data_cleaning.py et produit le fichier data/cleaned_jobs.csv utilisé pour l’entraînement. Le pipeline applique les étapes suivantes, dans l’ordre :</w:t>
      </w:r>
    </w:p>
    <w:p>
      <w:pPr>
        <w:pStyle w:val="Heading2"/>
      </w:pPr>
      <w:r>
        <w:t xml:space="preserve">4.1 Sélection des colonnes utiles</w:t>
      </w:r>
    </w:p>
    <w:p>
      <w:pPr>
        <w:spacing w:after="160" w:line="276"/>
        <w:jc w:val="both"/>
      </w:pPr>
      <w:r>
        <w:rPr>
          <w:i w:val="false"/>
          <w:iCs w:val="false"/>
        </w:rPr>
        <w:t xml:space="preserve">Les 14 colonnes brutes sont réduites à 12 colonnes pertinentes pour la prédiction salariale (suppression de job_id et posted_year, non utilisés par le modèle).</w:t>
      </w:r>
    </w:p>
    <w:p>
      <w:pPr>
        <w:pStyle w:val="Heading2"/>
      </w:pPr>
      <w:r>
        <w:t xml:space="preserve">4.2 Suppression des valeurs manquantes</w:t>
      </w:r>
    </w:p>
    <w:p>
      <w:pPr>
        <w:spacing w:after="160" w:line="276"/>
        <w:jc w:val="both"/>
      </w:pPr>
      <w:r>
        <w:rPr>
          <w:i w:val="false"/>
          <w:iCs w:val="false"/>
        </w:rPr>
        <w:t xml:space="preserve">Les lignes contenant des valeurs manquantes sur les colonnes critiques (job_title, industry, remote_type, min_experience_years, salary_min_usd, salary_max_usd) sont supprimées. Le pays (country) est conservé même en cas de valeur manquante, remplacé par “Unknown”.</w:t>
      </w:r>
    </w:p>
    <w:p>
      <w:pPr>
        <w:pStyle w:val="Heading2"/>
      </w:pPr>
      <w:r>
        <w:t xml:space="preserve">4.3 Calcul de la variable cible</w:t>
      </w:r>
    </w:p>
    <w:p>
      <w:pPr>
        <w:spacing w:after="160" w:line="276"/>
        <w:jc w:val="both"/>
      </w:pPr>
      <w:r>
        <w:rPr>
          <w:i w:val="false"/>
          <w:iCs w:val="false"/>
        </w:rPr>
        <w:t xml:space="preserve">La variable salary est calculée comme la moyenne de salary_min_usd et salary_max_usd.</w:t>
      </w:r>
    </w:p>
    <w:p>
      <w:pPr>
        <w:pStyle w:val="Heading2"/>
      </w:pPr>
      <w:r>
        <w:t xml:space="preserve">4.4 Suppression des valeurs aberrantes</w:t>
      </w:r>
    </w:p>
    <w:p>
      <w:pPr>
        <w:spacing w:after="160" w:line="276"/>
        <w:jc w:val="both"/>
      </w:pPr>
      <w:r>
        <w:rPr>
          <w:i w:val="false"/>
          <w:iCs w:val="false"/>
        </w:rPr>
        <w:t xml:space="preserve">Les lignes dont le salaire calculé est inférieur à 20 000 $ ou supérieur à 400 000 $ sont filtrées.</w:t>
      </w:r>
    </w:p>
    <w:p>
      <w:pPr>
        <w:pStyle w:val="Heading2"/>
      </w:pPr>
      <w:r>
        <w:t xml:space="preserve">4.5 Nettoyage textuel et normalisation des pays</w:t>
      </w:r>
    </w:p>
    <w:p>
      <w:pPr>
        <w:spacing w:after="160" w:line="276"/>
        <w:jc w:val="both"/>
      </w:pPr>
      <w:r>
        <w:rPr>
          <w:i w:val="false"/>
          <w:iCs w:val="false"/>
        </w:rPr>
        <w:t xml:space="preserve">Toutes les colonnes textuelles sont nettoyées (suppression des espaces superflus). Les valeurs de pays sont normalisées vers une liste fixe (par exemple “united states”, “us”, “usa” → “USA”) afin d’éviter les doublons de catégories dus à des formats hétérogènes.</w:t>
      </w:r>
    </w:p>
    <w:p>
      <w:pPr>
        <w:pStyle w:val="Heading2"/>
      </w:pPr>
      <w:r>
        <w:t xml:space="preserve">4.6 Traitement de l’expérience</w:t>
      </w:r>
    </w:p>
    <w:p>
      <w:pPr>
        <w:spacing w:after="160" w:line="276"/>
        <w:jc w:val="both"/>
      </w:pPr>
      <w:r>
        <w:rPr>
          <w:i w:val="false"/>
          <w:iCs w:val="false"/>
        </w:rPr>
        <w:t xml:space="preserve">La colonne min_experience_years est convertie en valeur numérique, les valeurs manquantes sont fixées à 0, et la plage est limitée (clip) entre 0 et 20 ans afin d’éviter les valeurs extrêmes ou invalides.</w:t>
      </w:r>
    </w:p>
    <w:p>
      <w:pPr>
        <w:pStyle w:val="Heading2"/>
      </w:pPr>
      <w:r>
        <w:t xml:space="preserve">4.7 Suppression des colonnes redondantes</w:t>
      </w:r>
    </w:p>
    <w:p>
      <w:pPr>
        <w:spacing w:after="160" w:line="276"/>
        <w:jc w:val="both"/>
      </w:pPr>
      <w:r>
        <w:rPr>
          <w:i w:val="false"/>
          <w:iCs w:val="false"/>
        </w:rPr>
        <w:t xml:space="preserve">Les colonnes salary_min_usd, salary_max_usd et experience_level sont supprimées une fois la variable cible calculée, experience_level étant jugée redondante avec min_experience_years.</w:t>
      </w:r>
    </w:p>
    <w:p>
      <w:pPr>
        <w:pStyle w:val="Heading2"/>
      </w:pPr>
      <w:r>
        <w:t xml:space="preserve">4.8 Résultat</w:t>
      </w:r>
    </w:p>
    <w:p>
      <w:pPr>
        <w:spacing w:after="160" w:line="276"/>
        <w:jc w:val="both"/>
      </w:pPr>
      <w:r>
        <w:rPr>
          <w:i w:val="false"/>
          <w:iCs w:val="false"/>
        </w:rPr>
        <w:t xml:space="preserve">Le fichier cleaned_jobs.csv obtenu contient 50 000 lignes et 10 colonnes (9 variables explicatives et la variable cible salary), directement exploitables pour l’encodage et l’entraînement du modèle, détaillés dans la section suivante.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2D3D" w:sz="8" w:space="4"/>
      </w:pBdr>
      <w:spacing w:after="240" w:before="480"/>
      <w:outlineLvl w:val="0"/>
    </w:pPr>
    <w:rPr>
      <w:rFonts w:ascii="Calibri" w:cs="Calibri" w:eastAsia="Calibri" w:hAnsi="Calibri"/>
      <w:b/>
      <w:bCs/>
      <w:color w:val="1F2D3D"/>
      <w:sz w:val="30"/>
      <w:szCs w:val="30"/>
    </w:rPr>
  </w:style>
  <w:style w:type="paragraph" w:styleId="Heading2">
    <w:name w:val="Heading 2"/>
    <w:basedOn w:val="Normal"/>
    <w:next w:val="Normal"/>
    <w:qFormat/>
    <w:pPr>
      <w:spacing w:after="160" w:before="280"/>
      <w:outlineLvl w:val="1"/>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TalentIQ – Rapport de Projet Technologique</dc:title>
  <dc:creator>Anas Bahraoui</dc:creator>
  <cp:lastModifiedBy>Un-named</cp:lastModifiedBy>
  <cp:revision>1</cp:revision>
  <dcterms:created xsi:type="dcterms:W3CDTF">2026-06-22T20:38:09.460Z</dcterms:created>
  <dcterms:modified xsi:type="dcterms:W3CDTF">2026-06-22T20:38:09.460Z</dcterms:modified>
</cp:coreProperties>
</file>

<file path=docProps/custom.xml><?xml version="1.0" encoding="utf-8"?>
<Properties xmlns="http://schemas.openxmlformats.org/officeDocument/2006/custom-properties" xmlns:vt="http://schemas.openxmlformats.org/officeDocument/2006/docPropsVTypes"/>
</file>