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b/>
        </w:rPr>
        <w:t>Naming Conventions</w:t>
      </w:r>
    </w:p>
    <w:p>
      <w:pPr>
        <w:pStyle w:val="BodyText"/>
        <w:bidi w:val="0"/>
        <w:jc w:val="start"/>
        <w:rPr/>
      </w:pPr>
      <w:r>
        <w:rPr/>
        <w:t>This document outlines the naming conventions used for schemas, tables, views, columns, and other objects in the data warehouse.</w:t>
      </w:r>
    </w:p>
    <w:p>
      <w:pPr>
        <w:pStyle w:val="Heading2"/>
        <w:bidi w:val="0"/>
        <w:ind w:hanging="0" w:start="0"/>
        <w:jc w:val="start"/>
        <w:rPr/>
      </w:pPr>
      <w:r>
        <w:rPr>
          <w:b/>
        </w:rPr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general-principles">
        <w:r>
          <w:rPr>
            <w:rStyle w:val="Hyperlink"/>
          </w:rPr>
          <w:t>General Principles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table-naming-conventions">
        <w:r>
          <w:rPr>
            <w:rStyle w:val="Hyperlink"/>
          </w:rPr>
          <w:t>Table Naming Conventions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hyperlink w:anchor="bronze-rules">
        <w:r>
          <w:rPr>
            <w:rStyle w:val="Hyperlink"/>
          </w:rPr>
          <w:t>Bronze Rules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hyperlink w:anchor="silver-rules">
        <w:r>
          <w:rPr>
            <w:rStyle w:val="Hyperlink"/>
          </w:rPr>
          <w:t>Silver Rules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hyperlink w:anchor="gold-rules">
        <w:r>
          <w:rPr>
            <w:rStyle w:val="Hyperlink"/>
          </w:rPr>
          <w:t>Gold Rules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column-naming-conventions">
        <w:r>
          <w:rPr>
            <w:rStyle w:val="Hyperlink"/>
          </w:rPr>
          <w:t>Column Naming Conventions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hyperlink w:anchor="surrogate-keys">
        <w:r>
          <w:rPr>
            <w:rStyle w:val="Hyperlink"/>
          </w:rPr>
          <w:t>Surrogate Keys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hyperlink w:anchor="technical-columns">
        <w:r>
          <w:rPr>
            <w:rStyle w:val="Hyperlink"/>
          </w:rPr>
          <w:t>Technical Columns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stored-procedure-naming-conventions">
        <w:r>
          <w:rPr>
            <w:rStyle w:val="Hyperlink"/>
          </w:rPr>
          <w:t>Stored Procedure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>
          <w:b/>
        </w:rPr>
        <w:t>General Principles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Naming Conventions</w:t>
      </w:r>
      <w:r>
        <w:rPr/>
        <w:t>: Use snake_case, with lowercase letters and underscores (</w:t>
      </w:r>
      <w:r>
        <w:rPr>
          <w:rFonts w:ascii="Liberation Mono" w:hAnsi="Liberation Mono"/>
        </w:rPr>
        <w:t>_</w:t>
      </w:r>
      <w:r>
        <w:rPr/>
        <w:t>) to separate words.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Language</w:t>
      </w:r>
      <w:r>
        <w:rPr/>
        <w:t>: Use English for all names.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Avoid Reserved Words</w:t>
      </w:r>
      <w:r>
        <w:rPr/>
        <w:t>: Do not use SQL reserved words as object names.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Table Naming Conventions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Bronze Rules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names must start with the source system name, and table names must match their original names without renaming.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  <w:b/>
        </w:rPr>
        <w:t>&lt;sourcesystem&gt;_&lt;entity&gt;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&lt;sourcesystem&gt;</w:t>
      </w:r>
      <w:r>
        <w:rPr/>
        <w:t xml:space="preserve">: Name of the source system (e.g., </w:t>
      </w:r>
      <w:r>
        <w:rPr>
          <w:rFonts w:ascii="Liberation Mono" w:hAnsi="Liberation Mono"/>
        </w:rPr>
        <w:t>crm</w:t>
      </w:r>
      <w:r>
        <w:rPr/>
        <w:t xml:space="preserve">, </w:t>
      </w:r>
      <w:r>
        <w:rPr>
          <w:rFonts w:ascii="Liberation Mono" w:hAnsi="Liberation Mono"/>
        </w:rPr>
        <w:t>erp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&lt;entity&gt;</w:t>
      </w:r>
      <w:r>
        <w:rPr/>
        <w:t>: Exact table name from the source system.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Fonts w:ascii="Liberation Mono" w:hAnsi="Liberation Mono"/>
        </w:rPr>
        <w:t>crm_customer_info</w:t>
      </w:r>
      <w:r>
        <w:rPr/>
        <w:t xml:space="preserve"> → Customer information from the CRM system.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Silver Rules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names must start with the source system name, and table names must match their original names without renaming.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  <w:b/>
        </w:rPr>
        <w:t>&lt;sourcesystem&gt;_&lt;entity&gt;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&lt;sourcesystem&gt;</w:t>
      </w:r>
      <w:r>
        <w:rPr/>
        <w:t xml:space="preserve">: Name of the source system (e.g., </w:t>
      </w:r>
      <w:r>
        <w:rPr>
          <w:rFonts w:ascii="Liberation Mono" w:hAnsi="Liberation Mono"/>
        </w:rPr>
        <w:t>crm</w:t>
      </w:r>
      <w:r>
        <w:rPr/>
        <w:t xml:space="preserve">, </w:t>
      </w:r>
      <w:r>
        <w:rPr>
          <w:rFonts w:ascii="Liberation Mono" w:hAnsi="Liberation Mono"/>
        </w:rPr>
        <w:t>erp</w:t>
      </w:r>
      <w:r>
        <w:rPr/>
        <w:t>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&lt;entity&gt;</w:t>
      </w:r>
      <w:r>
        <w:rPr/>
        <w:t>: Exact table name from the source system.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Fonts w:ascii="Liberation Mono" w:hAnsi="Liberation Mono"/>
        </w:rPr>
        <w:t>crm_customer_info</w:t>
      </w:r>
      <w:r>
        <w:rPr/>
        <w:t xml:space="preserve"> → Customer information from the CRM system.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Gold Rules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names must use meaningful, business-aligned names for tables, starting with the category prefix.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  <w:b/>
        </w:rPr>
        <w:t>&lt;category&gt;_&lt;entity&gt;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&lt;category&gt;</w:t>
      </w:r>
      <w:r>
        <w:rPr/>
        <w:t xml:space="preserve">: Describes the role of the table, such as </w:t>
      </w:r>
      <w:r>
        <w:rPr>
          <w:rFonts w:ascii="Liberation Mono" w:hAnsi="Liberation Mono"/>
        </w:rPr>
        <w:t>dim</w:t>
      </w:r>
      <w:r>
        <w:rPr/>
        <w:t xml:space="preserve"> (dimension) or </w:t>
      </w:r>
      <w:r>
        <w:rPr>
          <w:rFonts w:ascii="Liberation Mono" w:hAnsi="Liberation Mono"/>
        </w:rPr>
        <w:t>fact</w:t>
      </w:r>
      <w:r>
        <w:rPr/>
        <w:t xml:space="preserve"> (fact table).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&lt;entity&gt;</w:t>
      </w:r>
      <w:r>
        <w:rPr/>
        <w:t xml:space="preserve">: Descriptive name of the table, aligned with the business domain (e.g., </w:t>
      </w:r>
      <w:r>
        <w:rPr>
          <w:rFonts w:ascii="Liberation Mono" w:hAnsi="Liberation Mono"/>
        </w:rPr>
        <w:t>customers</w:t>
      </w:r>
      <w:r>
        <w:rPr/>
        <w:t xml:space="preserve">, </w:t>
      </w:r>
      <w:r>
        <w:rPr>
          <w:rFonts w:ascii="Liberation Mono" w:hAnsi="Liberation Mono"/>
        </w:rPr>
        <w:t>products</w:t>
      </w:r>
      <w:r>
        <w:rPr/>
        <w:t xml:space="preserve">, </w:t>
      </w:r>
      <w:r>
        <w:rPr>
          <w:rFonts w:ascii="Liberation Mono" w:hAnsi="Liberation Mono"/>
        </w:rPr>
        <w:t>sales</w:t>
      </w:r>
      <w:r>
        <w:rPr/>
        <w:t>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Examples: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dim_customers</w:t>
      </w:r>
      <w:r>
        <w:rPr/>
        <w:t xml:space="preserve"> → Dimension table for customer data.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fact_sales</w:t>
      </w:r>
      <w:r>
        <w:rPr/>
        <w:t xml:space="preserve"> → Fact table containing sales transactions.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Glossary of Category Patterns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Example(s)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dim_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Dimension table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dim_customer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dim_product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fact_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Fact table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fact_sales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report_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table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report_customers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report_sales_monthly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>
          <w:b/>
        </w:rPr>
        <w:t>Column Naming Conventions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Surrogate Keys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primary keys in dimension tables must use the suffix </w:t>
      </w:r>
      <w:r>
        <w:rPr>
          <w:rFonts w:ascii="Liberation Mono" w:hAnsi="Liberation Mono"/>
        </w:rPr>
        <w:t>_key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  <w:b/>
        </w:rPr>
        <w:t>&lt;table_name&gt;_key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&lt;table_name&gt;</w:t>
      </w:r>
      <w:r>
        <w:rPr/>
        <w:t>: Refers to the name of the table or entity the key belongs to.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_key</w:t>
      </w:r>
      <w:r>
        <w:rPr/>
        <w:t>: A suffix indicating that this column is a surrogate key.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Fonts w:ascii="Liberation Mono" w:hAnsi="Liberation Mono"/>
        </w:rPr>
        <w:t>customer_key</w:t>
      </w:r>
      <w:r>
        <w:rPr/>
        <w:t xml:space="preserve"> → Surrogate key in the </w:t>
      </w:r>
      <w:r>
        <w:rPr>
          <w:rFonts w:ascii="Liberation Mono" w:hAnsi="Liberation Mono"/>
        </w:rPr>
        <w:t>dim_customers</w:t>
      </w:r>
      <w:r>
        <w:rPr/>
        <w:t xml:space="preserve"> table.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Technical Columns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technical columns must start with the prefix </w:t>
      </w:r>
      <w:r>
        <w:rPr>
          <w:rFonts w:ascii="Liberation Mono" w:hAnsi="Liberation Mono"/>
        </w:rPr>
        <w:t>dwh_</w:t>
      </w:r>
      <w:r>
        <w:rPr/>
        <w:t>, followed by a descriptive name indicating the column's purpose.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  <w:b/>
        </w:rPr>
        <w:t>dwh_&lt;column_name&gt;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dwh</w:t>
      </w:r>
      <w:r>
        <w:rPr/>
        <w:t>: Prefix exclusively for system-generated metadata.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&lt;column_name&gt;</w:t>
      </w:r>
      <w:r>
        <w:rPr/>
        <w:t>: Descriptive name indicating the column's purpose.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Fonts w:ascii="Liberation Mono" w:hAnsi="Liberation Mono"/>
        </w:rPr>
        <w:t>dwh_load_date</w:t>
      </w:r>
      <w:r>
        <w:rPr/>
        <w:t xml:space="preserve"> → System-generated column used to store the date when the record was loaded.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Stored Procedure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stored procedures used for loading data must follow the naming pattern: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load_&lt;layer&gt;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&lt;layer&gt;</w:t>
      </w:r>
      <w:r>
        <w:rPr/>
        <w:t xml:space="preserve">: Represents the layer being loaded, such as </w:t>
      </w:r>
      <w:r>
        <w:rPr>
          <w:rFonts w:ascii="Liberation Mono" w:hAnsi="Liberation Mono"/>
        </w:rPr>
        <w:t>bronze</w:t>
      </w:r>
      <w:r>
        <w:rPr/>
        <w:t xml:space="preserve">, </w:t>
      </w:r>
      <w:r>
        <w:rPr>
          <w:rFonts w:ascii="Liberation Mono" w:hAnsi="Liberation Mono"/>
        </w:rPr>
        <w:t>silver</w:t>
      </w:r>
      <w:r>
        <w:rPr/>
        <w:t xml:space="preserve">, or </w:t>
      </w:r>
      <w:r>
        <w:rPr>
          <w:rFonts w:ascii="Liberation Mono" w:hAnsi="Liberation Mono"/>
        </w:rPr>
        <w:t>gold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Example: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load_bronze</w:t>
      </w:r>
      <w:r>
        <w:rPr/>
        <w:t xml:space="preserve"> → Stored procedure for loading data into the Bronze layer.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load_silver</w:t>
      </w:r>
      <w:r>
        <w:rPr/>
        <w:t xml:space="preserve"> → Stored procedure for loading data into the Silver layer.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