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Nabd Tech Expense Policy</w:t>
      </w:r>
    </w:p>
    <w:p>
      <w:r>
        <w:t>All business expenses must be submitted within 30 days with a receipt. Expenses above 200 JOD require approval from the department head.</w:t>
      </w:r>
    </w:p>
    <w:p>
      <w:pPr>
        <w:pStyle w:val="Heading1"/>
      </w:pPr>
      <w:r>
        <w:t>Daily allowances for travel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Hotel limit (JOD/night)</w:t>
            </w:r>
          </w:p>
        </w:tc>
        <w:tc>
          <w:tcPr>
            <w:tcW w:type="dxa" w:w="2880"/>
          </w:tcPr>
          <w:p>
            <w:r>
              <w:t>Meals (JOD/day)</w:t>
            </w:r>
          </w:p>
        </w:tc>
      </w:tr>
      <w:tr>
        <w:tc>
          <w:tcPr>
            <w:tcW w:type="dxa" w:w="2880"/>
          </w:tcPr>
          <w:p>
            <w:r>
              <w:t>Amman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Dubai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Riyadh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Cairo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p>
      <w:r>
        <w:t>Business class flights are only allowed for flights longer than 6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