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0" w:line="360"/>
        <w:jc w:val="center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Closing the books of a rentier energy economy: reconciled energy accounts, CO₂ drivers and the renewable dual dividend in Oman, 2015–2025</w:t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Author One</w:t>
      </w:r>
      <w:r>
        <w:rPr>
          <w:rFonts w:ascii="Times New Roman" w:cs="Times New Roman" w:eastAsia="Times New Roman" w:hAnsi="Times New Roman"/>
          <w:sz w:val="24"/>
          <w:szCs w:val="24"/>
          <w:vertAlign w:val="superscript"/>
        </w:rPr>
        <w:t xml:space="preserve">a,*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Author Two</w:t>
      </w:r>
      <w:r>
        <w:rPr>
          <w:rFonts w:ascii="Times New Roman" w:cs="Times New Roman" w:eastAsia="Times New Roman" w:hAnsi="Times New Roman"/>
          <w:sz w:val="24"/>
          <w:szCs w:val="24"/>
          <w:vertAlign w:val="superscript"/>
        </w:rPr>
        <w:t xml:space="preserve">b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Author Three</w:t>
      </w:r>
      <w:r>
        <w:rPr>
          <w:rFonts w:ascii="Times New Roman" w:cs="Times New Roman" w:eastAsia="Times New Roman" w:hAnsi="Times New Roman"/>
          <w:sz w:val="24"/>
          <w:szCs w:val="24"/>
          <w:vertAlign w:val="superscript"/>
        </w:rPr>
        <w:t xml:space="preserve">a</w:t>
      </w:r>
    </w:p>
    <w:p>
      <w:pPr>
        <w:spacing w:after="40" w:line="360"/>
        <w:jc w:val="center"/>
      </w:pPr>
      <w:r>
        <w:rPr>
          <w:rFonts w:ascii="Times New Roman" w:cs="Times New Roman" w:eastAsia="Times New Roman" w:hAnsi="Times New Roman"/>
          <w:i/>
          <w:iCs/>
          <w:sz w:val="20"/>
          <w:szCs w:val="20"/>
          <w:vertAlign w:val="superscript"/>
        </w:rPr>
        <w:t xml:space="preserve">a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 Department, Institution, City, Postal code, Sultanate of Oman</w:t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i/>
          <w:iCs/>
          <w:sz w:val="20"/>
          <w:szCs w:val="20"/>
          <w:vertAlign w:val="superscript"/>
        </w:rPr>
        <w:t xml:space="preserve">b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 Department, Institution, City, Postal code, Country</w:t>
      </w:r>
    </w:p>
    <w:p>
      <w:pPr>
        <w:spacing w:after="300" w:line="360"/>
        <w:jc w:val="center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* Corresponding author. E-mail: name@institution.om; ORCID: 0000-0000-0000-0000</w:t>
      </w:r>
    </w:p>
    <w:p>
      <w:pPr>
        <w:spacing w:after="240" w:line="360"/>
        <w:jc w:val="lef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Running title: Reconciled energy accounts for Oman</w:t>
      </w:r>
    </w:p>
    <w:p>
      <w:pPr>
        <w:pStyle w:val="Heading2"/>
        <w:keepNext/>
        <w:spacing w:after="0" w:before="120" w:line="4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CRediT authorship contribution statement</w:t>
      </w:r>
    </w:p>
    <w:p>
      <w:pPr>
        <w:spacing w:after="120" w:line="36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Author One: Conceptualization, Methodology, Data curation, Formal analysis, Software, Writing – original draft. Author Two: Validation, Visualization, Writing – review &amp; editing. Author Three: Supervision, Writing – review &amp; editing.</w:t>
      </w:r>
    </w:p>
    <w:p>
      <w:pPr>
        <w:pStyle w:val="Heading2"/>
        <w:keepNext/>
        <w:spacing w:after="0" w:before="120" w:line="4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Declaration of competing interest</w:t>
      </w:r>
    </w:p>
    <w:p>
      <w:pPr>
        <w:spacing w:after="120" w:line="36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authors declare that they have no known competing financial interests or personal relationships that could have appeared to influence the work reported in this paper.</w:t>
      </w:r>
    </w:p>
    <w:p>
      <w:pPr>
        <w:pStyle w:val="Heading2"/>
        <w:keepNext/>
        <w:spacing w:after="0" w:before="120" w:line="4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Funding</w:t>
      </w:r>
    </w:p>
    <w:p>
      <w:pPr>
        <w:spacing w:after="120" w:line="36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This research did not receive any specific grant from funding agencies in the public, commercial, or not-for-profit sectors.</w:t>
      </w:r>
    </w:p>
    <w:p>
      <w:pPr>
        <w:pStyle w:val="Heading2"/>
        <w:keepNext/>
        <w:spacing w:after="0" w:before="120" w:line="4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Data permission</w:t>
      </w:r>
    </w:p>
    <w:p>
      <w:pPr>
        <w:spacing w:after="120" w:line="36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National energy statistics were used with the written permission of the Ministry of Energy and Minerals of the Sultanate of Oman (letter reference and date).</w:t>
      </w:r>
    </w:p>
    <w:p>
      <w:pPr>
        <w:pStyle w:val="Heading2"/>
        <w:keepNext/>
        <w:spacing w:after="0" w:before="120" w:line="4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Acknowledgements</w:t>
      </w:r>
    </w:p>
    <w:p>
      <w:pPr>
        <w:spacing w:after="120" w:line="36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authors thank the Ministry of Energy and Minerals and the National Centre for Statistics and Information for providing data and for comments on the reconciliation procedures.</w:t>
      </w:r>
    </w:p>
    <w:sectPr>
      <w:footerReference w:type="default" r:id="rId7"/>
      <w:pgSz w:w="11906" w:h="16838" w:orient="portrait"/>
      <w:pgMar w:top="1273" w:right="1273" w:bottom="1273" w:left="127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Times New Roman" w:cs="Times New Roman" w:eastAsia="Times New Roman" w:hAnsi="Times New Roman"/>
      <w:b/>
      <w:bCs/>
      <w:sz w:val="26"/>
      <w:szCs w:val="26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Times New Roman" w:cs="Times New Roman" w:eastAsia="Times New Roman" w:hAnsi="Times New Roman"/>
      <w:b/>
      <w:bCs/>
      <w:sz w:val="24"/>
      <w:szCs w:val="24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Times New Roman" w:cs="Times New Roman" w:eastAsia="Times New Roman" w:hAnsi="Times New Roman"/>
      <w:b/>
      <w:bCs/>
      <w:i/>
      <w:i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 page</dc:title>
  <cp:lastModifiedBy>Un-named</cp:lastModifiedBy>
  <cp:revision>1</cp:revision>
  <dcterms:created xsi:type="dcterms:W3CDTF">2026-10-11T05:15:03.387Z</dcterms:created>
  <dcterms:modified xsi:type="dcterms:W3CDTF">2026-10-11T05:15:03.387Z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