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60"/>
        <w:jc w:val="center"/>
      </w:pPr>
      <w:r>
        <w:rPr>
          <w:rFonts w:ascii="Times New Roman" w:cs="Times New Roman" w:eastAsia="Times New Roman" w:hAnsi="Times New Roman"/>
          <w:b/>
          <w:bCs/>
          <w:sz w:val="32"/>
          <w:szCs w:val="32"/>
        </w:rPr>
        <w:t xml:space="preserve">Closing the books of a rentier energy economy: reconciled energy accounts, CO₂ drivers and the renewable dual dividend in Oman, 2015–2025</w:t>
      </w:r>
    </w:p>
    <w:p>
      <w:pPr>
        <w:pStyle w:val="Heading1"/>
        <w:keepNext/>
        <w:spacing w:after="0" w:before="240" w:line="480"/>
      </w:pPr>
      <w:r>
        <w:rPr>
          <w:rFonts w:ascii="Times New Roman" w:cs="Times New Roman" w:eastAsia="Times New Roman" w:hAnsi="Times New Roman"/>
          <w:b/>
          <w:bCs/>
          <w:i w:val="false"/>
          <w:iCs w:val="false"/>
          <w:sz w:val="26"/>
          <w:szCs w:val="26"/>
        </w:rPr>
        <w:t xml:space="preserve">Highlights</w:t>
      </w:r>
    </w:p>
    <w:p>
      <w:pPr>
        <w:pStyle w:val="ListParagraph"/>
        <w:numPr>
          <w:ilvl w:val="0"/>
          <w:numId w:val="2"/>
        </w:numPr>
        <w:spacing w:line="360"/>
      </w:pPr>
      <w:r>
        <w:rPr>
          <w:rFonts w:ascii="Times New Roman" w:cs="Times New Roman" w:eastAsia="Times New Roman" w:hAnsi="Times New Roman"/>
          <w:sz w:val="24"/>
          <w:szCs w:val="24"/>
        </w:rPr>
        <w:t xml:space="preserve">Closure diagnostics expose refinery, reinjection and power-plant gaps in Oman's data.</w:t>
      </w:r>
    </w:p>
    <w:p>
      <w:pPr>
        <w:pStyle w:val="ListParagraph"/>
        <w:numPr>
          <w:ilvl w:val="0"/>
          <w:numId w:val="2"/>
        </w:numPr>
        <w:spacing w:line="360"/>
      </w:pPr>
      <w:r>
        <w:rPr>
          <w:rFonts w:ascii="Times New Roman" w:cs="Times New Roman" w:eastAsia="Times New Roman" w:hAnsi="Times New Roman"/>
          <w:sz w:val="24"/>
          <w:szCs w:val="24"/>
        </w:rPr>
        <w:t xml:space="preserve">Reconciled 2025 TPES is 38.9 Mtoe, within 1.3% of independent estimates.</w:t>
      </w:r>
    </w:p>
    <w:p>
      <w:pPr>
        <w:pStyle w:val="ListParagraph"/>
        <w:numPr>
          <w:ilvl w:val="0"/>
          <w:numId w:val="2"/>
        </w:numPr>
        <w:spacing w:line="360"/>
      </w:pPr>
      <w:r>
        <w:rPr>
          <w:rFonts w:ascii="Times New Roman" w:cs="Times New Roman" w:eastAsia="Times New Roman" w:hAnsi="Times New Roman"/>
          <w:sz w:val="24"/>
          <w:szCs w:val="24"/>
        </w:rPr>
        <w:t xml:space="preserve">Combustion CO₂ is 88.1 Mt (90% CI 83.4–92.6); gas supplies 74%.</w:t>
      </w:r>
    </w:p>
    <w:p>
      <w:pPr>
        <w:pStyle w:val="ListParagraph"/>
        <w:numPr>
          <w:ilvl w:val="0"/>
          <w:numId w:val="2"/>
        </w:numPr>
        <w:spacing w:line="360"/>
      </w:pPr>
      <w:r>
        <w:rPr>
          <w:rFonts w:ascii="Times New Roman" w:cs="Times New Roman" w:eastAsia="Times New Roman" w:hAnsi="Times New Roman"/>
          <w:sz w:val="24"/>
          <w:szCs w:val="24"/>
        </w:rPr>
        <w:t xml:space="preserve">Population and energy intensity drove CO₂ up 14.1 Mt over 2015–2024.</w:t>
      </w:r>
    </w:p>
    <w:p>
      <w:pPr>
        <w:pStyle w:val="ListParagraph"/>
        <w:numPr>
          <w:ilvl w:val="0"/>
          <w:numId w:val="2"/>
        </w:numPr>
        <w:spacing w:line="360"/>
      </w:pPr>
      <w:r>
        <w:rPr>
          <w:rFonts w:ascii="Times New Roman" w:cs="Times New Roman" w:eastAsia="Times New Roman" w:hAnsi="Times New Roman"/>
          <w:sz w:val="24"/>
          <w:szCs w:val="24"/>
        </w:rPr>
        <w:t xml:space="preserve">Domestic gas use transfers an implicit rent of ~4.7% of GDP a year.</w:t>
      </w:r>
    </w:p>
    <w:p>
      <w:pPr>
        <w:pStyle w:val="Heading1"/>
        <w:keepNext/>
        <w:spacing w:after="0" w:before="240" w:line="480"/>
      </w:pPr>
      <w:r>
        <w:rPr>
          <w:rFonts w:ascii="Times New Roman" w:cs="Times New Roman" w:eastAsia="Times New Roman" w:hAnsi="Times New Roman"/>
          <w:b/>
          <w:bCs/>
          <w:i w:val="false"/>
          <w:iCs w:val="false"/>
          <w:sz w:val="26"/>
          <w:szCs w:val="26"/>
        </w:rPr>
        <w:t xml:space="preserve">Graphical abstract</w:t>
      </w:r>
    </w:p>
    <w:p>
      <w:pPr>
        <w:jc w:val="center"/>
      </w:pPr>
      <w:r>
        <w:drawing>
          <wp:inline distT="0" distB="0" distL="0" distR="0">
            <wp:extent cx="5715000" cy="4038600"/>
            <wp:effectExtent t="0" r="0" b="0" l="0"/>
            <wp:docPr id="1" name="ga" descr="Sankey diagram of Oman's reconciled 2025 energy balance" title="Graphical abs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38600"/>
                    </a:xfrm>
                    <a:prstGeom prst="rect">
                      <a:avLst/>
                    </a:prstGeom>
                  </pic:spPr>
                </pic:pic>
              </a:graphicData>
            </a:graphic>
          </wp:inline>
        </w:drawing>
      </w:r>
    </w:p>
    <w:p>
      <w:r>
        <w:br w:type="page"/>
      </w:r>
    </w:p>
    <w:p>
      <w:pPr>
        <w:pStyle w:val="Heading1"/>
        <w:keepNext/>
        <w:spacing w:after="0" w:before="240" w:line="480"/>
      </w:pPr>
      <w:r>
        <w:rPr>
          <w:rFonts w:ascii="Times New Roman" w:cs="Times New Roman" w:eastAsia="Times New Roman" w:hAnsi="Times New Roman"/>
          <w:b/>
          <w:bCs/>
          <w:i w:val="false"/>
          <w:iCs w:val="false"/>
          <w:sz w:val="26"/>
          <w:szCs w:val="26"/>
        </w:rPr>
        <w:t xml:space="preserve">Abstract</w:t>
      </w:r>
    </w:p>
    <w:p>
      <w:pPr>
        <w:spacing w:after="0" w:before="0" w:line="480"/>
        <w:jc w:val="both"/>
      </w:pPr>
      <w:r>
        <w:t xml:space="preserve">Hydrocarbon exporters face a distinctive decarbonization problem: the fuels displaced at home are also the source of fiscal rents abroad, and the energy statistics needed to manage this trade-off are often internally inconsistent. This study develops a diagnostic reconciliation framework for producer-state energy balances and applies it to Oman. Column closure, process-efficiency tests and triangulation against independent datasets identify four structural problems in the 2025 national accounts: refinery output exceeding recorded crude intake (apparent efficiency 1.52), reinjected gas counted as production, thermal electricity counted as primary energy, and a large unallocated petroleum residual. After reconciliation, indigenous production is 91,492 ktoe, Total Primary Energy Supply (TPES) 38,923 ktoe (90% CI 37,101–40,669) and the self-sufficiency ratio 235%. TPES lies within 1.3% of independent estimates. Fuel-combustion CO₂ emissions are 88.1 Mt (83.4–92.6), 74% from natural gas. A logarithmic mean Divisia index decomposition of 2015–2024 shows that population growth (+16.9 Mt) and rising energy intensity (+11.6 Mt) outweighed falling carbon intensity (-6.3 Mt). Renewables supplied 8.85% of electricity in 2025, avoiding 1.76–2.39 MtCO₂ and freeing 0.96 bcm of gas. Valued at LNG netback, domestic gas combustion transfers an implicit rent of about 4.7% of GDP, of which renewables preserved USD 0.16 billion. Transparent energy accounts are thus a precondition for credible decarbonization in rentier states.</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Energy balance reconciliation; Rentier state; LMDI decomposition; Monte Carlo uncertainty; Natural gas rents; Oman</w:t>
      </w:r>
    </w:p>
    <w:p>
      <w:pPr>
        <w:pStyle w:val="Heading1"/>
        <w:keepNext/>
        <w:spacing w:after="0" w:before="240" w:line="480"/>
      </w:pPr>
      <w:r>
        <w:rPr>
          <w:rFonts w:ascii="Times New Roman" w:cs="Times New Roman" w:eastAsia="Times New Roman" w:hAnsi="Times New Roman"/>
          <w:b/>
          <w:bCs/>
          <w:i w:val="false"/>
          <w:iCs w:val="false"/>
          <w:sz w:val="26"/>
          <w:szCs w:val="26"/>
        </w:rPr>
        <w:t xml:space="preserve">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Abbreviation</w:t>
            </w:r>
          </w:p>
        </w:tc>
        <w:tc>
          <w:tcPr>
            <w:tcW w:type="dxa" w:w="77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Definition</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bcm</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Billion cubic metres</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CI</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Confidence interval (5th–95th percentile)</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Emission factor</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EI</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Energy Institute</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GCC</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Gulf Cooperation Council</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GCP</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Global Carbon Project</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IPCC</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Intergovernmental Panel on Climate Change</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IRES</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International Recommendations for Energy Statistics</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kbbl</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Thousand barrels</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ktoe</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Thousand tonnes of oil equivalent (1 toe = 41.868 GJ)</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LMDI</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Logarithmic mean Divisia index</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LNG</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Liquefied natural gas</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MMBtu</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Million British thermal units</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MMscf</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Million standard cubic feet</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NCV</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Net calorific value</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NDC</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Nationally Determined Contribution</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OPWP</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Oman Power and Water Procurement Company</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SSR</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Self-sufficiency ratio (production ÷ TPES)</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TFC</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Total Final Consumption</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TFEE</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Total-factor energy efficiency</w:t>
            </w:r>
          </w:p>
        </w:tc>
      </w:tr>
      <w:tr>
        <w:trPr>
          <w:cantSplit/>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TPES</w:t>
            </w:r>
          </w:p>
        </w:tc>
        <w:tc>
          <w:tcPr>
            <w:tcW w:type="dxa" w:w="77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Total Primary Energy Supply</w:t>
            </w:r>
          </w:p>
        </w:tc>
      </w:tr>
      <w:tr>
        <w:trPr>
          <w:cantSplit/>
        </w:trPr>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VRE</w:t>
            </w:r>
          </w:p>
        </w:tc>
        <w:tc>
          <w:tcPr>
            <w:tcW w:type="dxa" w:w="77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Variable renewable energy</w:t>
            </w:r>
          </w:p>
        </w:tc>
      </w:tr>
    </w:tbl>
    <w:p>
      <w:r>
        <w:br w:type="page"/>
      </w:r>
    </w:p>
    <w:p>
      <w:pPr>
        <w:pStyle w:val="Heading1"/>
        <w:keepNext/>
        <w:spacing w:after="0" w:before="240" w:line="480"/>
      </w:pPr>
      <w:r>
        <w:rPr>
          <w:rFonts w:ascii="Times New Roman" w:cs="Times New Roman" w:eastAsia="Times New Roman" w:hAnsi="Times New Roman"/>
          <w:b/>
          <w:bCs/>
          <w:i w:val="false"/>
          <w:iCs w:val="false"/>
          <w:sz w:val="26"/>
          <w:szCs w:val="26"/>
        </w:rPr>
        <w:t xml:space="preserve">1. Introduction</w:t>
      </w:r>
    </w:p>
    <w:p>
      <w:pPr>
        <w:pStyle w:val="Heading2"/>
        <w:keepNext/>
        <w:spacing w:after="0" w:before="120" w:line="480"/>
      </w:pPr>
      <w:r>
        <w:rPr>
          <w:rFonts w:ascii="Times New Roman" w:cs="Times New Roman" w:eastAsia="Times New Roman" w:hAnsi="Times New Roman"/>
          <w:b/>
          <w:bCs/>
          <w:i w:val="false"/>
          <w:iCs w:val="false"/>
          <w:sz w:val="24"/>
          <w:szCs w:val="24"/>
        </w:rPr>
        <w:t xml:space="preserve">1.1. Background</w:t>
      </w:r>
    </w:p>
    <w:p>
      <w:pPr>
        <w:spacing w:after="0" w:before="0" w:line="480"/>
        <w:ind w:firstLine="360"/>
        <w:jc w:val="both"/>
      </w:pPr>
      <w:r>
        <w:t xml:space="preserve">The economies of the Gulf Cooperation Council (GCC) are organised around the capture and redistribution of hydrocarbon rents. In the rentier-state model, external rents accrue directly to the state, which allocates them domestically through public employment, transfers and administered energy prices rather than through taxation (Beblawi and Luciani, 1987; Krane, 2019). The same fiscal architecture that sustains political stability also locks in high domestic energy demand: subsidised electricity and fuels have produced per-capita consumption and energy intensities among the highest in the world (Lahn and Stevens, 2011; Fattouh and El-Katiri, 2013; Al-Badi and AlMubarak, 2019). Climate change adds a further structural pressure in a region already exposed to extreme heat and water stress (Al-Maamary et al., 2017a).</w:t>
      </w:r>
    </w:p>
    <w:p>
      <w:pPr>
        <w:spacing w:after="0" w:before="0" w:line="480"/>
        <w:ind w:firstLine="360"/>
        <w:jc w:val="both"/>
      </w:pPr>
      <w:r>
        <w:t xml:space="preserve">The Sultanate of Oman occupies a specific position within this group. It is a mid-sized producer with modest reserves and a history of fiscal deficits, so the opportunity cost of domestic hydrocarbon use is particularly salient (Al-Sarihi and Cherni, 2023). Oman Vision 2040 formalises a pivot towards economic diversification and a low-carbon energy sector. The government has pledged net-zero emissions by 2050 and has updated its Nationally Determined Contribution (NDC) (Sultanate of Oman, 2020, 2021; Argus Media, 2023). The Oman Power and Water Procurement Company (OPWP) targets a 30% renewable share of generation by 2030, and the state-owned Hydrogen Oman (Hydrom) is mandated to develop 1.0–1.25 Mt of renewable hydrogen per year by 2030 (IEA, 2023b; OPWP, 2024).</w:t>
      </w:r>
    </w:p>
    <w:p>
      <w:pPr>
        <w:pStyle w:val="Heading2"/>
        <w:keepNext/>
        <w:spacing w:after="0" w:before="120" w:line="480"/>
      </w:pPr>
      <w:r>
        <w:rPr>
          <w:rFonts w:ascii="Times New Roman" w:cs="Times New Roman" w:eastAsia="Times New Roman" w:hAnsi="Times New Roman"/>
          <w:b/>
          <w:bCs/>
          <w:i w:val="false"/>
          <w:iCs w:val="false"/>
          <w:sz w:val="24"/>
          <w:szCs w:val="24"/>
        </w:rPr>
        <w:t xml:space="preserve">1.2. Problem statement</w:t>
      </w:r>
    </w:p>
    <w:p>
      <w:pPr>
        <w:spacing w:after="0" w:before="0" w:line="480"/>
        <w:ind w:firstLine="360"/>
        <w:jc w:val="both"/>
      </w:pPr>
      <w:r>
        <w:t xml:space="preserve">Heavily subsidised, centralised petroleum economies exhibit considerable structural inertia. Incumbent institutions, administered prices and long-term export contracts tend to delay the diffusion of renewables even where resources are exceptional (Al-Sarihi and Cherni, 2023; Szalai et al., 2025). A less frequently discussed barrier is informational. Energy and climate policy rests on a national energy balance that traces energy from production and trade through transformation to final use. The balance supplies activity data for emissions inventories, denominators for efficiency indicators and the evidence base for subsidy and investment decisions (UNSD, 2018; Nagovnak et al., 2022).</w:t>
      </w:r>
    </w:p>
    <w:p>
      <w:pPr>
        <w:spacing w:after="0" w:before="0" w:line="480"/>
        <w:ind w:firstLine="360"/>
        <w:jc w:val="both"/>
      </w:pPr>
      <w:r>
        <w:t xml:space="preserve">Energy balances of hydrocarbon exporters are unusually difficult to compile. Large transformation sectors (refining, liquefaction and gas-fired power-and-water plants) dominate the accounts, so small errors in conversion factors or flow definitions propagate into large errors in primary supply. Flows into special economic zones may be recorded under different trade conventions (UN, 2011). Gas reinjected for pressure maintenance must be separated from gas that is burnt, and administrative data are fragmented across ministries and companies (Neelis and Pouwelse, 2008; Kuunifaa et al., 2026). A balance whose columns sum correctly can still violate physical constraints, such as a refinery that delivers more energy than it receives. Arithmetic closure is therefore a necessary but not a sufficient test of quality.</w:t>
      </w:r>
    </w:p>
    <w:p>
      <w:pPr>
        <w:pStyle w:val="Heading2"/>
        <w:keepNext/>
        <w:spacing w:after="0" w:before="120" w:line="480"/>
      </w:pPr>
      <w:r>
        <w:rPr>
          <w:rFonts w:ascii="Times New Roman" w:cs="Times New Roman" w:eastAsia="Times New Roman" w:hAnsi="Times New Roman"/>
          <w:b/>
          <w:bCs/>
          <w:i w:val="false"/>
          <w:iCs w:val="false"/>
          <w:sz w:val="24"/>
          <w:szCs w:val="24"/>
        </w:rPr>
        <w:t xml:space="preserve">1.3. Literature review</w:t>
      </w:r>
    </w:p>
    <w:p>
      <w:pPr>
        <w:spacing w:after="0" w:before="0" w:line="480"/>
        <w:ind w:firstLine="360"/>
        <w:jc w:val="both"/>
      </w:pPr>
      <w:r>
        <w:t xml:space="preserve">Four strands of literature frame this study. The first concerns the relationship between growth, energy use and emissions. The Environmental Kuznets Curve (EKC) hypothesis posits an inverted-U relationship between income and environmental pressure (Grossman and Krueger, 1995), but its empirical robustness has been widely questioned (Stern, 2004). For the GCC, panel and time-series studies generally find that energy consumption and emissions remain tightly coupled to growth (Al-Iriani, 2006; Salahuddin and Gow, 2014; Bekhet et al., 2017; Abdel-Gadir and Mohammed, 2024). Index decomposition analysis, in particular the logarithmic mean Divisia index (LMDI), is the standard tool for attributing emission changes to scale and intensity effects (Ang, 2015), yet it has rarely been applied to Oman.</w:t>
      </w:r>
    </w:p>
    <w:p>
      <w:pPr>
        <w:spacing w:after="0" w:before="0" w:line="480"/>
        <w:ind w:firstLine="360"/>
        <w:jc w:val="both"/>
      </w:pPr>
      <w:r>
        <w:t xml:space="preserve">The second strand addresses energy security and the political economy of transition in producer states. Self-sufficiency captures availability but not affordability, sustainability or governance (Sovacool and Mukherjee, 2011; Ang et al., 2015). For exporters, the transition both threatens rents and creates opportunities to monetise low-cost renewable electricity and hydrogen (Goldthau and Westphal, 2019; Gielen et al., 2019). Studies of Oman and the United Arab Emirates show that renewables have been rationalised partly as a means of preserving hydrocarbons for export, attracting investment and projecting a modernised image (Al-Maamary et al., 2017b; Szalai et al., 2025). Using strategic niche management, Al-Sarihi and Cherni (2023) argue that the Omani state supports renewable projects selectively, in ways that preserve the hydrocarbon regime. Regional reviews document GCC targets and readiness gaps (Mondal et al., 2016; Praveen et al., 2020; Almasri and Narayan, 2021), and Oman-specific work catalogues resource potential, barriers and the hydrogen agenda (Al-Badi et al., 2011; Amoatey et al., 2022; Marzouk, 2024; Leal-Arcas et al., 2025).</w:t>
      </w:r>
    </w:p>
    <w:p>
      <w:pPr>
        <w:spacing w:after="0" w:before="0" w:line="480"/>
        <w:ind w:firstLine="360"/>
        <w:jc w:val="both"/>
      </w:pPr>
      <w:r>
        <w:t xml:space="preserve">The third strand concerns the integration of variable renewable energy (VRE) into thermal grids. As VRE penetration rises, its market value declines and flexibility requirements grow (Denholm and Hand, 2011; Hirth, 2013). In Oman, multi-criteria assessments favour pumped hydro and compressed air storage (Al-Abri et al., 2024), and distributed photovoltaics face financial, technical and awareness barriers (Mishrif and Khan, 2024; Venkatachalam et al., 2025). Transition theory locates such barriers in regimes of institutions, infrastructure and practice rather than in technology alone (Geels, 2002; Sovacool, 2016).</w:t>
      </w:r>
    </w:p>
    <w:p>
      <w:pPr>
        <w:spacing w:after="0" w:before="0" w:line="480"/>
        <w:ind w:firstLine="360"/>
        <w:jc w:val="both"/>
      </w:pPr>
      <w:r>
        <w:t xml:space="preserve">The fourth strand, energy statistics methodology, is the most directly relevant. Nagovnak et al. (2022) show that IRES-based balances must be adapted to capture transition-era flows. Neelis and Pouwelse (2008) document how feedstock and combustion uses are confused in industrial statistics. Liu et al. (2026) demonstrate that territorial Tier 1 accounting misattributes emissions associated with traded fuels, and studies of emerging economies document fragmented activity data and weak quality assurance in national inventories (Kuunifaa et al., 2026). Table 1 summarises the studies most relevant to the present contribution.</w:t>
      </w:r>
    </w:p>
    <w:p>
      <w:pPr>
        <w:keepNext/>
        <w:spacing w:after="80" w:before="24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Synthesis of the literature most relevant to this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700"/>
        <w:gridCol w:w="3160"/>
      </w:tblGrid>
      <w:tr>
        <w:trPr>
          <w:tblHeader/>
        </w:trPr>
        <w:tc>
          <w:tcPr>
            <w:tcW w:type="dxa" w:w="20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Study</w:t>
            </w:r>
          </w:p>
        </w:tc>
        <w:tc>
          <w:tcPr>
            <w:tcW w:type="dxa" w:w="15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Scope</w:t>
            </w:r>
          </w:p>
        </w:tc>
        <w:tc>
          <w:tcPr>
            <w:tcW w:type="dxa" w:w="27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Approach</w:t>
            </w:r>
          </w:p>
        </w:tc>
        <w:tc>
          <w:tcPr>
            <w:tcW w:type="dxa" w:w="31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Relevance to this study</w:t>
            </w:r>
          </w:p>
        </w:tc>
      </w:tr>
      <w:tr>
        <w:trPr>
          <w:cantSplit/>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Nagovnak et al. (2022)</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Austria</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IRES balance methodology for the energy transition</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Template for matrix structure and flow diagrams</w:t>
            </w:r>
          </w:p>
        </w:tc>
      </w:tr>
      <w:tr>
        <w:trPr>
          <w:cantSplit/>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Neelis and Pouwelse (2008)</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Netherlands</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Reconciling feedstock and combustion in industrial statistics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Precedent for separating LNG feedstock and non-energy use</w:t>
            </w:r>
          </w:p>
        </w:tc>
      </w:tr>
      <w:tr>
        <w:trPr>
          <w:cantSplit/>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Ang (2015)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Methodological</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LMDI decomposition guide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Decomposition of CO₂ drivers, 2015–2024</w:t>
            </w:r>
          </w:p>
        </w:tc>
      </w:tr>
      <w:tr>
        <w:trPr>
          <w:cantSplit/>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Al-Sarihi and Cherni (2023)</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Oman</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Political economy of renewables in a rentier state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Interpretive frame for rent incidence</w:t>
            </w:r>
          </w:p>
        </w:tc>
      </w:tr>
      <w:tr>
        <w:trPr>
          <w:cantSplit/>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Szalai et al. (2025)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UAE, Oman</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Political economy of renewable deployment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Renewables as rent preservation</w:t>
            </w:r>
          </w:p>
        </w:tc>
      </w:tr>
      <w:tr>
        <w:trPr>
          <w:cantSplit/>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Salahuddin and Gow (2014); Bekhet et al. (2017)</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GCC</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Econometric growth–energy–emissions nexus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Evidence of persistent coupling</w:t>
            </w:r>
          </w:p>
        </w:tc>
      </w:tr>
      <w:tr>
        <w:trPr>
          <w:cantSplit/>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Charabi et al. (2018)</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Oman</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GHG reduction pathways for a hydrocarbon economy</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Policy context for NDC tracking</w:t>
            </w:r>
          </w:p>
        </w:tc>
      </w:tr>
      <w:tr>
        <w:trPr>
          <w:cantSplit/>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IEA (2023b); Marzouk (2024)</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Oman</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Renewable hydrogen and planned capacity mix</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Scale of hydrogen-driven VRE build-out</w:t>
            </w:r>
          </w:p>
        </w:tc>
      </w:tr>
      <w:tr>
        <w:trPr>
          <w:cantSplit/>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Liu et al. (2026)</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Global</w:t>
            </w:r>
          </w:p>
        </w:tc>
        <w:tc>
          <w:tcPr>
            <w:tcW w:type="dxa" w:w="2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Origin of traded fuels in combustion CO₂ accounting</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Limits of Tier 1 territorial accounting</w:t>
            </w:r>
          </w:p>
        </w:tc>
      </w:tr>
    </w:tbl>
    <w:p>
      <w:pPr>
        <w:spacing w:after="240" w:before="60" w:line="240"/>
      </w:pPr>
      <w:r>
        <w:rPr>
          <w:rFonts w:ascii="Times New Roman" w:cs="Times New Roman" w:eastAsia="Times New Roman" w:hAnsi="Times New Roman"/>
          <w:sz w:val="18"/>
          <w:szCs w:val="18"/>
        </w:rPr>
        <w:t xml:space="preserve"> </w:t>
      </w:r>
    </w:p>
    <w:p>
      <w:pPr>
        <w:pStyle w:val="Heading2"/>
        <w:keepNext/>
        <w:spacing w:after="0" w:before="120" w:line="480"/>
      </w:pPr>
      <w:r>
        <w:rPr>
          <w:rFonts w:ascii="Times New Roman" w:cs="Times New Roman" w:eastAsia="Times New Roman" w:hAnsi="Times New Roman"/>
          <w:b/>
          <w:bCs/>
          <w:i w:val="false"/>
          <w:iCs w:val="false"/>
          <w:sz w:val="24"/>
          <w:szCs w:val="24"/>
        </w:rPr>
        <w:t xml:space="preserve">1.4. Research gap and contribution</w:t>
      </w:r>
    </w:p>
    <w:p>
      <w:pPr>
        <w:spacing w:after="0" w:before="0" w:line="480"/>
        <w:ind w:firstLine="360"/>
        <w:jc w:val="both"/>
      </w:pPr>
      <w:r>
        <w:t xml:space="preserve">International agencies already publish energy data for Oman. The IEA and the United Nations Statistics Division compile balances from national questionnaire returns, and the Energy Institute and the Global Carbon Project report aggregate energy and emission series (IEA, 2023a; Energy Institute, 2025; Our World in Data, 2026). These products do not document how national source data are reconciled, and their aggregate format hides the transformation flows that matter most in a gas-exporting economy. Oman-specific studies, in turn, rely on these aggregates; none tests the physical consistency of the underlying accounts, quantifies their uncertainty or links them to the distribution of hydrocarbon rents (Charabi et al., 2018; Abdel-Gadir and Mohammed, 2024).</w:t>
      </w:r>
    </w:p>
    <w:p>
      <w:pPr>
        <w:spacing w:after="0" w:before="0" w:line="480"/>
        <w:ind w:firstLine="360"/>
        <w:jc w:val="both"/>
      </w:pPr>
      <w:r>
        <w:t xml:space="preserve">This paper makes four contributions. First, it proposes a diagnostic reconciliation framework for producer-state energy balances. The framework combines column closure, process-efficiency closure and triangulation against independent datasets, and it is transferable to other exporters. Second, it applies the framework to Oman's 2025 national data, documents each correction and propagates the remaining uncertainty through a Monte Carlo analysis. Third, it places 2025 in a 2015–2024 context and decomposes the change in CO₂ emissions with the LMDI method. Fourth, it quantifies the political economy of the transition by estimating the implicit gas rent transferred to domestic users and the rent preserved by renewables, the “dual dividend”. Section 2 describes the data and methods, Section 3 presents the results, Section 4 discusses the political economy of the transition, Section 5 sets out policy implications and limitations, and Section 6 concludes.</w:t>
      </w:r>
    </w:p>
    <w:p>
      <w:pPr>
        <w:pStyle w:val="Heading1"/>
        <w:keepNext/>
        <w:spacing w:after="0" w:before="240" w:line="480"/>
      </w:pPr>
      <w:r>
        <w:rPr>
          <w:rFonts w:ascii="Times New Roman" w:cs="Times New Roman" w:eastAsia="Times New Roman" w:hAnsi="Times New Roman"/>
          <w:b/>
          <w:bCs/>
          <w:i w:val="false"/>
          <w:iCs w:val="false"/>
          <w:sz w:val="26"/>
          <w:szCs w:val="26"/>
        </w:rPr>
        <w:t xml:space="preserve">2. Data and methods</w:t>
      </w:r>
    </w:p>
    <w:p>
      <w:pPr>
        <w:spacing w:after="0" w:before="0" w:line="480"/>
        <w:ind w:firstLine="360"/>
        <w:jc w:val="both"/>
      </w:pPr>
      <w:r>
        <w:t xml:space="preserve">Fig. 1 summarises the research design. We compile activity data, harmonise units and flow definitions, apply closure diagnostics, and use the reconciled accounts for emissions, decomposition, uncertainty and rent analysis. A failed diagnostic triggers re-harmonisation of the source data before analysis rather than being absorbed into a residual.</w:t>
      </w:r>
    </w:p>
    <w:p>
      <w:pPr>
        <w:keepNext/>
        <w:spacing w:before="240"/>
        <w:jc w:val="center"/>
      </w:pPr>
      <w:r>
        <w:drawing>
          <wp:inline distT="0" distB="0" distL="0" distR="0">
            <wp:extent cx="5810250" cy="3933825"/>
            <wp:effectExtent t="0" r="0" b="0" l="0"/>
            <wp:docPr id="1" name="fig1" descr="Research framework: activity data, harmonisation, closure diagnostics and analysi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3933825"/>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Research framework: activity data, harmonisation, closure diagnostics and analysis.</w:t>
      </w:r>
    </w:p>
    <w:p>
      <w:pPr>
        <w:pStyle w:val="Heading2"/>
        <w:keepNext/>
        <w:spacing w:after="0" w:before="120" w:line="480"/>
      </w:pPr>
      <w:r>
        <w:rPr>
          <w:rFonts w:ascii="Times New Roman" w:cs="Times New Roman" w:eastAsia="Times New Roman" w:hAnsi="Times New Roman"/>
          <w:b/>
          <w:bCs/>
          <w:i w:val="false"/>
          <w:iCs w:val="false"/>
          <w:sz w:val="24"/>
          <w:szCs w:val="24"/>
        </w:rPr>
        <w:t xml:space="preserve">2.1. Accounting framework and closure tests</w:t>
      </w:r>
    </w:p>
    <w:p>
      <w:pPr>
        <w:spacing w:after="0" w:before="0" w:line="480"/>
        <w:ind w:firstLine="360"/>
        <w:jc w:val="both"/>
      </w:pPr>
      <w:r>
        <w:t xml:space="preserve">We follow the International Recommendations for Energy Statistics (UNSD, 2018), which are mirrored in IEA and Eurostat practice (IEA, 2023a; Eurostat, 2021). For each commodity </w:t>
      </w:r>
      <w:r>
        <w:rPr>
          <w:i/>
          <w:iCs/>
        </w:rPr>
        <w:t xml:space="preserve">c</w:t>
      </w:r>
      <w:r>
        <w:t xml:space="preserve">, Total Primary Energy Supply is:</w:t>
      </w:r>
    </w:p>
    <w:p>
      <w:pPr>
        <w:tabs>
          <w:tab w:val="center" w:pos="4680"/>
          <w:tab w:val="right" w:pos="9360"/>
        </w:tabs>
        <w:spacing w:after="60" w:before="60" w:line="48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2"/>
          <w:szCs w:val="22"/>
        </w:rPr>
        <w:t xml:space="preserve">TPES</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M</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X</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ΔS</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4"/>
          <w:szCs w:val="24"/>
        </w:rPr>
        <w:t xml:space="preserve">	(1)</w:t>
      </w:r>
    </w:p>
    <w:p>
      <w:pPr>
        <w:spacing w:after="0" w:before="0" w:line="480"/>
        <w:ind w:firstLine="360"/>
        <w:jc w:val="both"/>
      </w:pPr>
      <w:r>
        <w:t xml:space="preserve">where </w:t>
      </w:r>
      <w:r>
        <w:rPr>
          <w:i/>
          <w:iCs/>
        </w:rPr>
        <w:t xml:space="preserve">P</w:t>
      </w:r>
      <w:r>
        <w:t xml:space="preserve"> is indigenous production, </w:t>
      </w:r>
      <w:r>
        <w:rPr>
          <w:i/>
          <w:iCs/>
        </w:rPr>
        <w:t xml:space="preserve">M</w:t>
      </w:r>
      <w:r>
        <w:t xml:space="preserve"> imports, </w:t>
      </w:r>
      <w:r>
        <w:rPr>
          <w:i/>
          <w:iCs/>
        </w:rPr>
        <w:t xml:space="preserve">X</w:t>
      </w:r>
      <w:r>
        <w:t xml:space="preserve"> exports, </w:t>
      </w:r>
      <w:r>
        <w:rPr>
          <w:i/>
          <w:iCs/>
        </w:rPr>
        <w:t xml:space="preserve">B</w:t>
      </w:r>
      <w:r>
        <w:t xml:space="preserve"> international marine and aviation bunkers and Δ</w:t>
      </w:r>
      <w:r>
        <w:rPr>
          <w:i/>
          <w:iCs/>
        </w:rPr>
        <w:t xml:space="preserve">S</w:t>
      </w:r>
      <w:r>
        <w:t xml:space="preserve"> the stock change. Final consumption follows from the commodity identity:</w:t>
      </w:r>
    </w:p>
    <w:p>
      <w:pPr>
        <w:tabs>
          <w:tab w:val="center" w:pos="4680"/>
          <w:tab w:val="right" w:pos="9360"/>
        </w:tabs>
        <w:spacing w:after="60" w:before="60" w:line="48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2"/>
          <w:szCs w:val="22"/>
        </w:rPr>
        <w:t xml:space="preserve">TFC</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TPES</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TI</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TO</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OU</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L</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SD</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4"/>
          <w:szCs w:val="24"/>
        </w:rPr>
        <w:t xml:space="preserve">	(2)</w:t>
      </w:r>
    </w:p>
    <w:p>
      <w:pPr>
        <w:spacing w:after="0" w:before="0" w:line="480"/>
        <w:ind w:firstLine="360"/>
        <w:jc w:val="both"/>
      </w:pPr>
      <w:r>
        <w:t xml:space="preserve">where </w:t>
      </w:r>
      <w:r>
        <w:rPr>
          <w:i/>
          <w:iCs/>
        </w:rPr>
        <w:t xml:space="preserve">TI</w:t>
      </w:r>
      <w:r>
        <w:t xml:space="preserve"> and </w:t>
      </w:r>
      <w:r>
        <w:rPr>
          <w:i/>
          <w:iCs/>
        </w:rPr>
        <w:t xml:space="preserve">TO</w:t>
      </w:r>
      <w:r>
        <w:t xml:space="preserve"> are transformation inputs and outputs, </w:t>
      </w:r>
      <w:r>
        <w:rPr>
          <w:i/>
          <w:iCs/>
        </w:rPr>
        <w:t xml:space="preserve">OU</w:t>
      </w:r>
      <w:r>
        <w:t xml:space="preserve"> energy-sector own use, </w:t>
      </w:r>
      <w:r>
        <w:rPr>
          <w:i/>
          <w:iCs/>
        </w:rPr>
        <w:t xml:space="preserve">L</w:t>
      </w:r>
      <w:r>
        <w:t xml:space="preserve"> distribution losses and </w:t>
      </w:r>
      <w:r>
        <w:rPr>
          <w:i/>
          <w:iCs/>
        </w:rPr>
        <w:t xml:space="preserve">SD</w:t>
      </w:r>
      <w:r>
        <w:t xml:space="preserve"> the statistical difference. We apply three tests. Test T1 requires |</w:t>
      </w:r>
      <w:r>
        <w:rPr>
          <w:i/>
          <w:iCs/>
        </w:rPr>
        <w:t xml:space="preserve">SD</w:t>
      </w:r>
      <w:r>
        <w:rPr>
          <w:vertAlign w:val="subscript"/>
        </w:rPr>
        <w:t xml:space="preserve">c</w:t>
      </w:r>
      <w:r>
        <w:t xml:space="preserve">| to be small relative to TPES</w:t>
      </w:r>
      <w:r>
        <w:rPr>
          <w:vertAlign w:val="subscript"/>
        </w:rPr>
        <w:t xml:space="preserve">c</w:t>
      </w:r>
      <w:r>
        <w:t xml:space="preserve">. Test T2 requires the apparent efficiency of each transformation process </w:t>
      </w:r>
      <w:r>
        <w:rPr>
          <w:i/>
          <w:iCs/>
        </w:rPr>
        <w:t xml:space="preserve">k</w:t>
      </w:r>
      <w:r>
        <w:t xml:space="preserve"> to be physically plausible:</w:t>
      </w:r>
    </w:p>
    <w:p>
      <w:pPr>
        <w:tabs>
          <w:tab w:val="center" w:pos="4680"/>
          <w:tab w:val="right" w:pos="9360"/>
        </w:tabs>
        <w:spacing w:after="60" w:before="60" w:line="48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2"/>
          <w:szCs w:val="22"/>
        </w:rPr>
        <w:t xml:space="preserve">η</w:t>
      </w:r>
      <w:r>
        <w:rPr>
          <w:rFonts w:ascii="Times New Roman" w:cs="Times New Roman" w:eastAsia="Times New Roman" w:hAnsi="Times New Roman"/>
          <w:i/>
          <w:iCs/>
          <w:sz w:val="22"/>
          <w:szCs w:val="22"/>
          <w:vertAlign w:val="subscript"/>
        </w:rPr>
        <w:t xml:space="preserve">k</w:t>
      </w:r>
      <w:r>
        <w:rPr>
          <w:rFonts w:ascii="Times New Roman" w:cs="Times New Roman" w:eastAsia="Times New Roman" w:hAnsi="Times New Roman"/>
          <w:i/>
          <w:iCs/>
          <w:sz w:val="22"/>
          <w:szCs w:val="22"/>
        </w:rPr>
        <w:t xml:space="preserve"> = Σ</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TO</w:t>
      </w:r>
      <w:r>
        <w:rPr>
          <w:rFonts w:ascii="Times New Roman" w:cs="Times New Roman" w:eastAsia="Times New Roman" w:hAnsi="Times New Roman"/>
          <w:i/>
          <w:iCs/>
          <w:sz w:val="22"/>
          <w:szCs w:val="22"/>
          <w:vertAlign w:val="subscript"/>
        </w:rPr>
        <w:t xml:space="preserve">c,k</w:t>
      </w:r>
      <w:r>
        <w:rPr>
          <w:rFonts w:ascii="Times New Roman" w:cs="Times New Roman" w:eastAsia="Times New Roman" w:hAnsi="Times New Roman"/>
          <w:i/>
          <w:iCs/>
          <w:sz w:val="22"/>
          <w:szCs w:val="22"/>
        </w:rPr>
        <w:t xml:space="preserve"> / Σ</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TI</w:t>
      </w:r>
      <w:r>
        <w:rPr>
          <w:rFonts w:ascii="Times New Roman" w:cs="Times New Roman" w:eastAsia="Times New Roman" w:hAnsi="Times New Roman"/>
          <w:i/>
          <w:iCs/>
          <w:sz w:val="22"/>
          <w:szCs w:val="22"/>
          <w:vertAlign w:val="subscript"/>
        </w:rPr>
        <w:t xml:space="preserve">c,k</w:t>
      </w:r>
      <w:r>
        <w:rPr>
          <w:rFonts w:ascii="Times New Roman" w:cs="Times New Roman" w:eastAsia="Times New Roman" w:hAnsi="Times New Roman"/>
          <w:i/>
          <w:iCs/>
          <w:sz w:val="22"/>
          <w:szCs w:val="22"/>
        </w:rPr>
        <w:t xml:space="preserve"> ,   0 &lt; η</w:t>
      </w:r>
      <w:r>
        <w:rPr>
          <w:rFonts w:ascii="Times New Roman" w:cs="Times New Roman" w:eastAsia="Times New Roman" w:hAnsi="Times New Roman"/>
          <w:i/>
          <w:iCs/>
          <w:sz w:val="22"/>
          <w:szCs w:val="22"/>
          <w:vertAlign w:val="subscript"/>
        </w:rPr>
        <w:t xml:space="preserve">k</w:t>
      </w:r>
      <w:r>
        <w:rPr>
          <w:rFonts w:ascii="Times New Roman" w:cs="Times New Roman" w:eastAsia="Times New Roman" w:hAnsi="Times New Roman"/>
          <w:i/>
          <w:iCs/>
          <w:sz w:val="22"/>
          <w:szCs w:val="22"/>
        </w:rPr>
        <w:t xml:space="preserve"> &lt; η</w:t>
      </w:r>
      <w:r>
        <w:rPr>
          <w:rFonts w:ascii="Times New Roman" w:cs="Times New Roman" w:eastAsia="Times New Roman" w:hAnsi="Times New Roman"/>
          <w:i/>
          <w:iCs/>
          <w:sz w:val="22"/>
          <w:szCs w:val="22"/>
          <w:vertAlign w:val="subscript"/>
        </w:rPr>
        <w:t xml:space="preserve">k</w:t>
      </w:r>
      <w:r>
        <w:rPr>
          <w:rFonts w:ascii="Times New Roman" w:cs="Times New Roman" w:eastAsia="Times New Roman" w:hAnsi="Times New Roman"/>
          <w:i/>
          <w:iCs/>
          <w:sz w:val="22"/>
          <w:szCs w:val="22"/>
          <w:vertAlign w:val="superscript"/>
        </w:rPr>
        <w:t xml:space="preserve">max</w:t>
      </w:r>
      <w:r>
        <w:rPr>
          <w:rFonts w:ascii="Times New Roman" w:cs="Times New Roman" w:eastAsia="Times New Roman" w:hAnsi="Times New Roman"/>
          <w:sz w:val="24"/>
          <w:szCs w:val="24"/>
        </w:rPr>
        <w:t xml:space="preserve">	(3)</w:t>
      </w:r>
    </w:p>
    <w:p>
      <w:pPr>
        <w:spacing w:after="0" w:before="0" w:line="480"/>
        <w:ind w:firstLine="360"/>
        <w:jc w:val="both"/>
      </w:pPr>
      <w:r>
        <w:t xml:space="preserve">Test T3 compares reconciled aggregates with independent estimates: the Energy Institute's primary energy and gas consumption series and the Global Carbon Project's fuel-specific CO₂ series (Energy Institute, 2025; Our World in Data, 2026). Following IRES, primary electricity comprises only solar and wind generation, and reinjected, flared and vented gas is excluded from natural gas production (UNSD, 2018).</w:t>
      </w:r>
    </w:p>
    <w:p>
      <w:pPr>
        <w:pStyle w:val="Heading2"/>
        <w:keepNext/>
        <w:spacing w:after="0" w:before="120" w:line="480"/>
      </w:pPr>
      <w:r>
        <w:rPr>
          <w:rFonts w:ascii="Times New Roman" w:cs="Times New Roman" w:eastAsia="Times New Roman" w:hAnsi="Times New Roman"/>
          <w:b/>
          <w:bCs/>
          <w:i w:val="false"/>
          <w:iCs w:val="false"/>
          <w:sz w:val="24"/>
          <w:szCs w:val="24"/>
        </w:rPr>
        <w:t xml:space="preserve">2.2. Data</w:t>
      </w:r>
    </w:p>
    <w:p>
      <w:pPr>
        <w:spacing w:after="0" w:before="0" w:line="480"/>
        <w:ind w:firstLine="360"/>
        <w:jc w:val="both"/>
      </w:pPr>
      <w:r>
        <w:t xml:space="preserve">Table 2 lists the data sources. All 2025 activity data are official national statistics or company data submitted to the national statistical system. The 2015–2024 time series are taken from public international datasets.</w:t>
      </w:r>
    </w:p>
    <w:p>
      <w:pPr>
        <w:keepNext/>
        <w:spacing w:after="80" w:before="24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Source</w:t>
            </w:r>
          </w:p>
        </w:tc>
        <w:tc>
          <w:tcPr>
            <w:tcW w:type="dxa" w:w="44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Data</w:t>
            </w:r>
          </w:p>
        </w:tc>
        <w:tc>
          <w:tcPr>
            <w:tcW w:type="dxa" w:w="22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Coverage</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National Centre for Statistics and Information (NCSI, 2026)</w:t>
            </w:r>
          </w:p>
        </w:tc>
        <w:tc>
          <w:tcPr>
            <w:tcW w:type="dxa" w:w="4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Crude oil production and exports; refinery output; gas production and use by category; LNG exports; electricity generation, consumption and sectoral use; GDP; population</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2021–2025</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Ministry of Energy and Minerals</w:t>
            </w:r>
          </w:p>
        </w:tc>
        <w:tc>
          <w:tcPr>
            <w:tcW w:type="dxa" w:w="4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Monthly crude and condensate production; gas use by sector; refinery output by product</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2025</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Renewable Energy Bulletin</w:t>
            </w:r>
          </w:p>
        </w:tc>
        <w:tc>
          <w:tcPr>
            <w:tcW w:type="dxa" w:w="4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Monthly renewable generation by plant</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2022–2025</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Duqm refinery operator</w:t>
            </w:r>
          </w:p>
        </w:tc>
        <w:tc>
          <w:tcPr>
            <w:tcW w:type="dxa" w:w="4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Foreign crude imports; product exports</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2025</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Customs external trade statistics</w:t>
            </w:r>
          </w:p>
        </w:tc>
        <w:tc>
          <w:tcPr>
            <w:tcW w:type="dxa" w:w="4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Coal (HS 2701) and lignite (HS 2704) trade</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2025</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Port bunkering records</w:t>
            </w:r>
          </w:p>
        </w:tc>
        <w:tc>
          <w:tcPr>
            <w:tcW w:type="dxa" w:w="4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Marine bunker deliveries at five ports</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2024–2025</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Energy Institute; Ember; Global Carbon Project (via Our World in Data)</w:t>
            </w:r>
          </w:p>
        </w:tc>
        <w:tc>
          <w:tcPr>
            <w:tcW w:type="dxa" w:w="4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Primary energy, gas and oil consumption, electricity generation and renewables share, CO₂ by fuel, population, GDP</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2015–2024</w:t>
            </w:r>
          </w:p>
        </w:tc>
      </w:tr>
      <w:tr>
        <w:trPr>
          <w:cantSplit/>
        </w:trPr>
        <w:tc>
          <w:tcPr>
            <w:tcW w:type="dxa" w:w="2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IPCC (2006)</w:t>
            </w:r>
          </w:p>
        </w:tc>
        <w:tc>
          <w:tcPr>
            <w:tcW w:type="dxa" w:w="44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Default NCVs and CO₂ emission factors</w:t>
            </w:r>
          </w:p>
        </w:tc>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International default</w:t>
            </w:r>
          </w:p>
        </w:tc>
      </w:tr>
    </w:tbl>
    <w:p>
      <w:pPr>
        <w:spacing w:after="240" w:before="60" w:line="240"/>
      </w:pPr>
      <w:r>
        <w:rPr>
          <w:rFonts w:ascii="Times New Roman" w:cs="Times New Roman" w:eastAsia="Times New Roman" w:hAnsi="Times New Roman"/>
          <w:sz w:val="18"/>
          <w:szCs w:val="18"/>
        </w:rPr>
        <w:t xml:space="preserve"> </w:t>
      </w:r>
    </w:p>
    <w:p>
      <w:pPr>
        <w:pStyle w:val="Heading2"/>
        <w:keepNext/>
        <w:spacing w:after="0" w:before="120" w:line="480"/>
      </w:pPr>
      <w:r>
        <w:rPr>
          <w:rFonts w:ascii="Times New Roman" w:cs="Times New Roman" w:eastAsia="Times New Roman" w:hAnsi="Times New Roman"/>
          <w:b/>
          <w:bCs/>
          <w:i w:val="false"/>
          <w:iCs w:val="false"/>
          <w:sz w:val="24"/>
          <w:szCs w:val="24"/>
        </w:rPr>
        <w:t xml:space="preserve">2.3. Conversion factors</w:t>
      </w:r>
    </w:p>
    <w:p>
      <w:pPr>
        <w:spacing w:after="0" w:before="0" w:line="480"/>
        <w:ind w:firstLine="360"/>
        <w:jc w:val="both"/>
      </w:pPr>
      <w:r>
        <w:t xml:space="preserve">Crude oil is converted at 0.136 ktoe/kbbl and natural gas at 0.02549 ktoe/MMscf (1 toe = 41.868 GJ). Refined products are converted with product-specific factors derived from IPCC (2006) net calorific values and typical densities (Appendix B). The resulting mix-weighted factor for the refinery slate is 0.1265 ktoe/kbbl, lower than the crude factor, as expected for a light-product slate. LNG is converted at 1.178 toe/t, corresponding to a net calorific value of about 49.3 GJ/t. Electricity is recorded at its physical energy content (0.086 ktoe/GWh) and coal at 0.65 ktoe/kt (Table 3).</w:t>
      </w:r>
    </w:p>
    <w:p>
      <w:pPr>
        <w:keepNext/>
        <w:spacing w:after="80" w:before="240" w:line="276"/>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sz w:val="20"/>
          <w:szCs w:val="20"/>
        </w:rPr>
        <w:t xml:space="preserve">Conversion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300"/>
        <w:gridCol w:w="2960"/>
      </w:tblGrid>
      <w:tr>
        <w:trPr>
          <w:tblHeader/>
        </w:trPr>
        <w:tc>
          <w:tcPr>
            <w:tcW w:type="dxa" w:w="26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Commodity</w:t>
            </w:r>
          </w:p>
        </w:tc>
        <w:tc>
          <w:tcPr>
            <w:tcW w:type="dxa" w:w="15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Unit</w:t>
            </w:r>
          </w:p>
        </w:tc>
        <w:tc>
          <w:tcPr>
            <w:tcW w:type="dxa" w:w="23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Factor</w:t>
            </w:r>
          </w:p>
        </w:tc>
        <w:tc>
          <w:tcPr>
            <w:tcW w:type="dxa" w:w="29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Basis</w:t>
            </w:r>
          </w:p>
        </w:tc>
      </w:tr>
      <w:tr>
        <w:trPr>
          <w:cantSplit/>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Crude oil</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kbbl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0.136 ktoe/kbbl</w:t>
            </w:r>
          </w:p>
        </w:tc>
        <w:tc>
          <w:tcPr>
            <w:tcW w:type="dxa" w:w="29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National crude assay</w:t>
            </w:r>
          </w:p>
        </w:tc>
      </w:tr>
      <w:tr>
        <w:trPr>
          <w:cantSplit/>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Refined products (slate average)</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kbbl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0.1265 ktoe/kbbl</w:t>
            </w:r>
          </w:p>
        </w:tc>
        <w:tc>
          <w:tcPr>
            <w:tcW w:type="dxa" w:w="29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Product-specific IPCC NCV × density (Appendix B)</w:t>
            </w:r>
          </w:p>
        </w:tc>
      </w:tr>
      <w:tr>
        <w:trPr>
          <w:cantSplit/>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Natural gas</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MMscf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0.02549 ktoe/MMscf</w:t>
            </w:r>
          </w:p>
        </w:tc>
        <w:tc>
          <w:tcPr>
            <w:tcW w:type="dxa" w:w="29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Standard heat content</w:t>
            </w:r>
          </w:p>
        </w:tc>
      </w:tr>
      <w:tr>
        <w:trPr>
          <w:cantSplit/>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LNG</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1.178 toe/t</w:t>
            </w:r>
          </w:p>
        </w:tc>
        <w:tc>
          <w:tcPr>
            <w:tcW w:type="dxa" w:w="29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NCV ≈ 49.3 GJ/t</w:t>
            </w:r>
          </w:p>
        </w:tc>
      </w:tr>
      <w:tr>
        <w:trPr>
          <w:cantSplit/>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Coal and lignite</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0.00065 ktoe/t</w:t>
            </w:r>
          </w:p>
        </w:tc>
        <w:tc>
          <w:tcPr>
            <w:tcW w:type="dxa" w:w="29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IPCC-consistent default</w:t>
            </w:r>
          </w:p>
        </w:tc>
      </w:tr>
      <w:tr>
        <w:trPr>
          <w:cantSplit/>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Electricity</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GWh</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0.086 ktoe/GWh</w:t>
            </w:r>
          </w:p>
        </w:tc>
        <w:tc>
          <w:tcPr>
            <w:tcW w:type="dxa" w:w="29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Physical energy content</w:t>
            </w:r>
          </w:p>
        </w:tc>
      </w:tr>
    </w:tbl>
    <w:p>
      <w:pPr>
        <w:spacing w:after="240" w:before="60" w:line="240"/>
      </w:pPr>
      <w:r>
        <w:rPr>
          <w:rFonts w:ascii="Times New Roman" w:cs="Times New Roman" w:eastAsia="Times New Roman" w:hAnsi="Times New Roman"/>
          <w:sz w:val="18"/>
          <w:szCs w:val="18"/>
        </w:rPr>
        <w:t xml:space="preserve"> </w:t>
      </w:r>
    </w:p>
    <w:p>
      <w:pPr>
        <w:pStyle w:val="Heading2"/>
        <w:keepNext/>
        <w:spacing w:after="0" w:before="120" w:line="480"/>
      </w:pPr>
      <w:r>
        <w:rPr>
          <w:rFonts w:ascii="Times New Roman" w:cs="Times New Roman" w:eastAsia="Times New Roman" w:hAnsi="Times New Roman"/>
          <w:b/>
          <w:bCs/>
          <w:i w:val="false"/>
          <w:iCs w:val="false"/>
          <w:sz w:val="24"/>
          <w:szCs w:val="24"/>
        </w:rPr>
        <w:t xml:space="preserve">2.4. Reconciliation procedures</w:t>
      </w:r>
    </w:p>
    <w:p>
      <w:pPr>
        <w:pStyle w:val="Heading3"/>
        <w:keepNext/>
        <w:spacing w:after="0" w:before="120" w:line="480"/>
      </w:pPr>
      <w:r>
        <w:rPr>
          <w:rFonts w:ascii="Times New Roman" w:cs="Times New Roman" w:eastAsia="Times New Roman" w:hAnsi="Times New Roman"/>
          <w:b/>
          <w:bCs/>
          <w:i/>
          <w:iCs/>
          <w:sz w:val="24"/>
          <w:szCs w:val="24"/>
        </w:rPr>
        <w:t xml:space="preserve">2.4.1. Refinery closure</w:t>
      </w:r>
    </w:p>
    <w:p>
      <w:pPr>
        <w:spacing w:after="0" w:before="0" w:line="480"/>
        <w:ind w:firstLine="360"/>
        <w:jc w:val="both"/>
      </w:pPr>
      <w:r>
        <w:t xml:space="preserve">Recorded crude intake to refineries, defined as production less exports plus imports, is 17,529 ktoe. Refinery output is 26,663 ktoe (210,833 kbbl), so the apparent efficiency is 1.52, which fails test T2. Three explanations are possible: over-recorded output (H0), over-recorded crude exports (H1) or under-recorded crude production (H2). H0 can be rejected. If output were constrained to the recorded intake at a plausible efficiency, product supply after recorded product exports and bunkers would be negative, which contradicts observed retail sales of 5,700 ktoe. The discrepancy therefore lies on the crude supply side. We estimate refinery intake from output, using a net refinery energy efficiency η</w:t>
      </w:r>
      <w:r>
        <w:rPr>
          <w:vertAlign w:val="subscript"/>
        </w:rPr>
        <w:t xml:space="preserve">ref</w:t>
      </w:r>
      <w:r>
        <w:t xml:space="preserve"> of 0.95 (range 0.92–0.98), consistent with refinery fuel and loss rates of 4–8% of throughput (Szklo and Schaeffer, 2007). The implied intake is 28,066 ktoe, which leaves a supply gap of 10,537 ktoe. In the central case (H1), we treat the gap as crude delivered to domestic refineries but recorded within the export series. This is consistent with the recording of deliveries into free zones under the special trade system (UN, 2011), since the Duqm refinery lies in a special economic zone. Under H2, the gap is added to production instead. Both hypotheses give the same TPES but different production and self-sufficiency, and both are reported.</w:t>
      </w:r>
    </w:p>
    <w:p>
      <w:pPr>
        <w:pStyle w:val="Heading3"/>
        <w:keepNext/>
        <w:spacing w:after="0" w:before="120" w:line="480"/>
      </w:pPr>
      <w:r>
        <w:rPr>
          <w:rFonts w:ascii="Times New Roman" w:cs="Times New Roman" w:eastAsia="Times New Roman" w:hAnsi="Times New Roman"/>
          <w:b/>
          <w:bCs/>
          <w:i/>
          <w:iCs/>
          <w:sz w:val="24"/>
          <w:szCs w:val="24"/>
        </w:rPr>
        <w:t xml:space="preserve">2.4.2. Natural gas: reinjection, LNG and power-and-water plants</w:t>
      </w:r>
    </w:p>
    <w:p>
      <w:pPr>
        <w:spacing w:after="0" w:before="0" w:line="480"/>
        <w:ind w:firstLine="360"/>
        <w:jc w:val="both"/>
      </w:pPr>
      <w:r>
        <w:t xml:space="preserve">Gross gas production is 51,459.2 ktoe (2,018,799 MMscf). Of this, 11,880 ktoe is delivered to oil fields, where gas is used both as fuel and for reinjection in miscible and pressure-maintenance schemes; national statistics do not separate the two uses. We estimate the combusted share by triangulating with independent gas consumption and CO₂ series (Section 3.2). These series are consistent with 15% combustion (range 0–30%). The reinjected remainder (10,098 ktoe in the central case) is excluded from production, as IRES requires.</w:t>
      </w:r>
    </w:p>
    <w:p>
      <w:pPr>
        <w:spacing w:after="0" w:before="0" w:line="480"/>
        <w:ind w:firstLine="360"/>
        <w:jc w:val="both"/>
      </w:pPr>
      <w:r>
        <w:t xml:space="preserve">LNG feedstock is the operator's reported feed-gas requirement of 599,187 MMscf (15,273.3 ktoe). This corresponds to 53.0 thousand scf per tonne of LNG, typical of liquefaction plants that use 8–12% of feed gas as fuel (Lee et al., 2018). With LNG at 1.178 toe/t, the 11.3 Mt exported equals 13,306 ktoe, which implies a liquefaction efficiency of 87.1%. The plant loss of 1,967 ktoe is treated as combusted fuel (80–100%).</w:t>
      </w:r>
    </w:p>
    <w:p>
      <w:pPr>
        <w:spacing w:after="0" w:before="0" w:line="480"/>
        <w:ind w:firstLine="360"/>
        <w:jc w:val="both"/>
      </w:pPr>
      <w:r>
        <w:t xml:space="preserve">If all the gas delivered to power-and-water plants (13,974 ktoe) were attributed to the 46,464.5 GWh of thermal generation, the fleet efficiency would be only 28.6%. This is implausible for a fleet dominated by combined-cycle plants. Integrated power-and-water plants also supply heat for thermal desalination, and the reported gas may include auxiliary and captive uses. In the absence of a metered split, we attribute to grid electricity the fuel implied by a net fleet efficiency of 45% (range 40–50%), namely 8,880 ktoe. The remaining 5,094 ktoe is reported separately as “desalination heat and unattributed”. Its emissions remain in the inventory, but it does not inflate the electricity emission factor.</w:t>
      </w:r>
    </w:p>
    <w:p>
      <w:pPr>
        <w:pStyle w:val="Heading3"/>
        <w:keepNext/>
        <w:spacing w:after="0" w:before="120" w:line="480"/>
      </w:pPr>
      <w:r>
        <w:rPr>
          <w:rFonts w:ascii="Times New Roman" w:cs="Times New Roman" w:eastAsia="Times New Roman" w:hAnsi="Times New Roman"/>
          <w:b/>
          <w:bCs/>
          <w:i/>
          <w:iCs/>
          <w:sz w:val="24"/>
          <w:szCs w:val="24"/>
        </w:rPr>
        <w:t xml:space="preserve">2.4.3. Petroleum products: bunkers, retail allocation and non-energy use</w:t>
      </w:r>
    </w:p>
    <w:p>
      <w:pPr>
        <w:spacing w:after="0" w:before="0" w:line="480"/>
        <w:ind w:firstLine="360"/>
        <w:jc w:val="both"/>
      </w:pPr>
      <w:r>
        <w:t xml:space="preserve">Domestic product availability after exports (16,578 ktoe) and marine bunkers (453.8 ktoe) is 9,631 ktoe. Retail distribution sales by product (43,699.8 kbbl) are allocated directly. Gasoline goes to road transport; diesel is split between transport (70%), industry (15%) and households (5%); and jet fuel goes to aviation. Of the jet fuel, an estimated 90% (80–95%) is used by international flights and recorded as aviation bunkers (723 ktoe). The remaining 3,930 ktoe is not sold through retail channels. We allocate it in proportion to the non-retail part of the refinery slate: naphtha and other products, LPG and fuel oil. Naphtha and other products are treated as non-energy use (petrochemical feedstock, bitumen and lubricants) with a share of 0.8 (0.6–1.0), and the remainder as industrial fuel. LPG is allocated to households (70%; 50–90%) and industry, and fuel oil to industry. Non-energy use is reported in TFC but excluded from combustion CO₂, in line with IPCC (2006).</w:t>
      </w:r>
    </w:p>
    <w:p>
      <w:pPr>
        <w:pStyle w:val="Heading2"/>
        <w:keepNext/>
        <w:spacing w:after="0" w:before="120" w:line="480"/>
      </w:pPr>
      <w:r>
        <w:rPr>
          <w:rFonts w:ascii="Times New Roman" w:cs="Times New Roman" w:eastAsia="Times New Roman" w:hAnsi="Times New Roman"/>
          <w:b/>
          <w:bCs/>
          <w:i w:val="false"/>
          <w:iCs w:val="false"/>
          <w:sz w:val="24"/>
          <w:szCs w:val="24"/>
        </w:rPr>
        <w:t xml:space="preserve">2.5. Emissions</w:t>
      </w:r>
    </w:p>
    <w:p>
      <w:pPr>
        <w:spacing w:after="0" w:before="0" w:line="480"/>
        <w:ind w:firstLine="360"/>
        <w:jc w:val="both"/>
      </w:pPr>
      <w:r>
        <w:t xml:space="preserve">We estimate territorial combustion CO₂ with the IPCC (2006) Tier 1 method on an NCV basis (Appendix A):</w:t>
      </w:r>
    </w:p>
    <w:p>
      <w:pPr>
        <w:tabs>
          <w:tab w:val="center" w:pos="4680"/>
          <w:tab w:val="right" w:pos="9360"/>
        </w:tabs>
        <w:spacing w:after="60" w:before="60" w:line="48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2"/>
          <w:szCs w:val="22"/>
        </w:rPr>
        <w:t xml:space="preserve">E</w:t>
      </w:r>
      <w:r>
        <w:rPr>
          <w:rFonts w:ascii="Times New Roman" w:cs="Times New Roman" w:eastAsia="Times New Roman" w:hAnsi="Times New Roman"/>
          <w:i/>
          <w:iCs/>
          <w:sz w:val="22"/>
          <w:szCs w:val="22"/>
          <w:vertAlign w:val="subscript"/>
        </w:rPr>
        <w:t xml:space="preserve">k,f</w:t>
      </w:r>
      <w:r>
        <w:rPr>
          <w:rFonts w:ascii="Times New Roman" w:cs="Times New Roman" w:eastAsia="Times New Roman" w:hAnsi="Times New Roman"/>
          <w:i/>
          <w:iCs/>
          <w:sz w:val="22"/>
          <w:szCs w:val="22"/>
        </w:rPr>
        <w:t xml:space="preserve"> = A</w:t>
      </w:r>
      <w:r>
        <w:rPr>
          <w:rFonts w:ascii="Times New Roman" w:cs="Times New Roman" w:eastAsia="Times New Roman" w:hAnsi="Times New Roman"/>
          <w:i/>
          <w:iCs/>
          <w:sz w:val="22"/>
          <w:szCs w:val="22"/>
          <w:vertAlign w:val="subscript"/>
        </w:rPr>
        <w:t xml:space="preserve">k,f</w:t>
      </w:r>
      <w:r>
        <w:rPr>
          <w:rFonts w:ascii="Times New Roman" w:cs="Times New Roman" w:eastAsia="Times New Roman" w:hAnsi="Times New Roman"/>
          <w:i/>
          <w:iCs/>
          <w:sz w:val="22"/>
          <w:szCs w:val="22"/>
        </w:rPr>
        <w:t xml:space="preserve"> × EF</w:t>
      </w:r>
      <w:r>
        <w:rPr>
          <w:rFonts w:ascii="Times New Roman" w:cs="Times New Roman" w:eastAsia="Times New Roman" w:hAnsi="Times New Roman"/>
          <w:i/>
          <w:iCs/>
          <w:sz w:val="22"/>
          <w:szCs w:val="22"/>
          <w:vertAlign w:val="subscript"/>
        </w:rPr>
        <w:t xml:space="preserve">f</w:t>
      </w:r>
      <w:r>
        <w:rPr>
          <w:rFonts w:ascii="Times New Roman" w:cs="Times New Roman" w:eastAsia="Times New Roman" w:hAnsi="Times New Roman"/>
          <w:sz w:val="24"/>
          <w:szCs w:val="24"/>
        </w:rPr>
        <w:t xml:space="preserve">	(4)</w:t>
      </w:r>
    </w:p>
    <w:p>
      <w:pPr>
        <w:spacing w:after="0" w:before="0" w:line="480"/>
        <w:ind w:firstLine="360"/>
        <w:jc w:val="both"/>
      </w:pPr>
      <w:r>
        <w:t xml:space="preserve">where </w:t>
      </w:r>
      <w:r>
        <w:rPr>
          <w:i/>
          <w:iCs/>
        </w:rPr>
        <w:t xml:space="preserve">A</w:t>
      </w:r>
      <w:r>
        <w:t xml:space="preserve"> is the fuel combusted in IPCC source category </w:t>
      </w:r>
      <w:r>
        <w:rPr>
          <w:i/>
          <w:iCs/>
        </w:rPr>
        <w:t xml:space="preserve">k</w:t>
      </w:r>
      <w:r>
        <w:t xml:space="preserve"> and </w:t>
      </w:r>
      <w:r>
        <w:rPr>
          <w:i/>
          <w:iCs/>
        </w:rPr>
        <w:t xml:space="preserve">EF</w:t>
      </w:r>
      <w:r>
        <w:t xml:space="preserve"> the default factor. The categories are electricity and desalination (1.A.1.a), refining (1.A.1.b), LNG liquefaction and upstream fuel use (1.A.1.c), manufacturing (1.A.2), transport (1.A.3) and residential use (1.A.4). Flaring, venting and process emissions are outside the scope of the inventory and are discussed in Section 5.2. Grid-electricity emissions are attributed to end-use sectors in proportion to electricity consumption. Emissions avoided by renewables are:</w:t>
      </w:r>
    </w:p>
    <w:p>
      <w:pPr>
        <w:tabs>
          <w:tab w:val="center" w:pos="4680"/>
          <w:tab w:val="right" w:pos="9360"/>
        </w:tabs>
        <w:spacing w:after="60" w:before="60" w:line="48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2"/>
          <w:szCs w:val="22"/>
        </w:rPr>
        <w:t xml:space="preserve">ΔE = G</w:t>
      </w:r>
      <w:r>
        <w:rPr>
          <w:rFonts w:ascii="Times New Roman" w:cs="Times New Roman" w:eastAsia="Times New Roman" w:hAnsi="Times New Roman"/>
          <w:i/>
          <w:iCs/>
          <w:sz w:val="22"/>
          <w:szCs w:val="22"/>
          <w:vertAlign w:val="subscript"/>
        </w:rPr>
        <w:t xml:space="preserve">RE</w:t>
      </w:r>
      <w:r>
        <w:rPr>
          <w:rFonts w:ascii="Times New Roman" w:cs="Times New Roman" w:eastAsia="Times New Roman" w:hAnsi="Times New Roman"/>
          <w:i/>
          <w:iCs/>
          <w:sz w:val="22"/>
          <w:szCs w:val="22"/>
        </w:rPr>
        <w:t xml:space="preserve"> × EF</w:t>
      </w:r>
      <w:r>
        <w:rPr>
          <w:rFonts w:ascii="Times New Roman" w:cs="Times New Roman" w:eastAsia="Times New Roman" w:hAnsi="Times New Roman"/>
          <w:i/>
          <w:iCs/>
          <w:sz w:val="22"/>
          <w:szCs w:val="22"/>
          <w:vertAlign w:val="subscript"/>
        </w:rPr>
        <w:t xml:space="preserve">marg</w:t>
      </w:r>
      <w:r>
        <w:rPr>
          <w:rFonts w:ascii="Times New Roman" w:cs="Times New Roman" w:eastAsia="Times New Roman" w:hAnsi="Times New Roman"/>
          <w:i/>
          <w:iCs/>
          <w:sz w:val="22"/>
          <w:szCs w:val="22"/>
        </w:rPr>
        <w:t xml:space="preserve"> ,   EF</w:t>
      </w:r>
      <w:r>
        <w:rPr>
          <w:rFonts w:ascii="Times New Roman" w:cs="Times New Roman" w:eastAsia="Times New Roman" w:hAnsi="Times New Roman"/>
          <w:i/>
          <w:iCs/>
          <w:sz w:val="22"/>
          <w:szCs w:val="22"/>
          <w:vertAlign w:val="subscript"/>
        </w:rPr>
        <w:t xml:space="preserve">marg</w:t>
      </w:r>
      <w:r>
        <w:rPr>
          <w:rFonts w:ascii="Times New Roman" w:cs="Times New Roman" w:eastAsia="Times New Roman" w:hAnsi="Times New Roman"/>
          <w:i/>
          <w:iCs/>
          <w:sz w:val="22"/>
          <w:szCs w:val="22"/>
        </w:rPr>
        <w:t xml:space="preserve"> = 56.1 kgCO₂/GJ × 3.6 / η</w:t>
      </w:r>
      <w:r>
        <w:rPr>
          <w:rFonts w:ascii="Times New Roman" w:cs="Times New Roman" w:eastAsia="Times New Roman" w:hAnsi="Times New Roman"/>
          <w:i/>
          <w:iCs/>
          <w:sz w:val="22"/>
          <w:szCs w:val="22"/>
          <w:vertAlign w:val="subscript"/>
        </w:rPr>
        <w:t xml:space="preserve">marg</w:t>
      </w:r>
      <w:r>
        <w:rPr>
          <w:rFonts w:ascii="Times New Roman" w:cs="Times New Roman" w:eastAsia="Times New Roman" w:hAnsi="Times New Roman"/>
          <w:sz w:val="24"/>
          <w:szCs w:val="24"/>
        </w:rPr>
        <w:t xml:space="preserve">	(5)</w:t>
      </w:r>
    </w:p>
    <w:p>
      <w:pPr>
        <w:spacing w:after="0" w:before="0" w:line="480"/>
        <w:ind w:firstLine="360"/>
        <w:jc w:val="both"/>
      </w:pPr>
      <w:r>
        <w:t xml:space="preserve">where η</w:t>
      </w:r>
      <w:r>
        <w:rPr>
          <w:vertAlign w:val="subscript"/>
        </w:rPr>
        <w:t xml:space="preserve">marg</w:t>
      </w:r>
      <w:r>
        <w:t xml:space="preserve"> is the efficiency of the displaced gas-fired plant: 0.45 in the central case, between 0.35 (open cycle) and 0.55 (combined cycle) (Siler-Evans et al., 2012). Gas freed by renewables is </w:t>
      </w:r>
      <w:r>
        <w:rPr>
          <w:i/>
          <w:iCs/>
        </w:rPr>
        <w:t xml:space="preserve">G</w:t>
      </w:r>
      <w:r>
        <w:rPr>
          <w:vertAlign w:val="subscript"/>
        </w:rPr>
        <w:t xml:space="preserve">RE</w:t>
      </w:r>
      <w:r>
        <w:t xml:space="preserve"> × 3.6/η</w:t>
      </w:r>
      <w:r>
        <w:rPr>
          <w:vertAlign w:val="subscript"/>
        </w:rPr>
        <w:t xml:space="preserve">marg</w:t>
      </w:r>
      <w:r>
        <w:t xml:space="preserve">.</w:t>
      </w:r>
    </w:p>
    <w:p>
      <w:pPr>
        <w:pStyle w:val="Heading2"/>
        <w:keepNext/>
        <w:spacing w:after="0" w:before="120" w:line="480"/>
      </w:pPr>
      <w:r>
        <w:rPr>
          <w:rFonts w:ascii="Times New Roman" w:cs="Times New Roman" w:eastAsia="Times New Roman" w:hAnsi="Times New Roman"/>
          <w:b/>
          <w:bCs/>
          <w:i w:val="false"/>
          <w:iCs w:val="false"/>
          <w:sz w:val="24"/>
          <w:szCs w:val="24"/>
        </w:rPr>
        <w:t xml:space="preserve">2.6. Uncertainty analysis</w:t>
      </w:r>
    </w:p>
    <w:p>
      <w:pPr>
        <w:spacing w:after="0" w:before="0" w:line="480"/>
        <w:ind w:firstLine="360"/>
        <w:jc w:val="both"/>
      </w:pPr>
      <w:r>
        <w:t xml:space="preserve">We propagate parameter uncertainty with a Monte Carlo simulation of 10,000 draws (Table 4) and report central estimates with 90% intervals. Spearman rank correlations between inputs and outputs identify the parameters that dominate uncertainty.</w:t>
      </w:r>
    </w:p>
    <w:p>
      <w:pPr>
        <w:keepNext/>
        <w:spacing w:after="80" w:before="240" w:line="276"/>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sz w:val="20"/>
          <w:szCs w:val="20"/>
        </w:rPr>
        <w:t xml:space="preserve">Uncertain parameters in the Monte Carlo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2000"/>
        <w:gridCol w:w="2360"/>
      </w:tblGrid>
      <w:tr>
        <w:trPr>
          <w:tblHeader/>
        </w:trPr>
        <w:tc>
          <w:tcPr>
            <w:tcW w:type="dxa" w:w="33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Parameter</w:t>
            </w:r>
          </w:p>
        </w:tc>
        <w:tc>
          <w:tcPr>
            <w:tcW w:type="dxa" w:w="17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Central</w:t>
            </w:r>
          </w:p>
        </w:tc>
        <w:tc>
          <w:tcPr>
            <w:tcW w:type="dxa" w:w="20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Distribution</w:t>
            </w:r>
          </w:p>
        </w:tc>
        <w:tc>
          <w:tcPr>
            <w:tcW w:type="dxa" w:w="23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Basis</w:t>
            </w:r>
          </w:p>
        </w:tc>
      </w:tr>
      <w:tr>
        <w:trPr>
          <w:cantSplit/>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Product energy factors (multiplier)</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U(0.97, 1.03)</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Density and NCV variation</w:t>
            </w:r>
          </w:p>
        </w:tc>
      </w:tr>
      <w:tr>
        <w:trPr>
          <w:cantSplit/>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Refinery net efficiency η</w:t>
            </w:r>
            <w:r>
              <w:rPr>
                <w:rFonts w:ascii="Times New Roman" w:cs="Times New Roman" w:eastAsia="Times New Roman" w:hAnsi="Times New Roman"/>
                <w:b w:val="false"/>
                <w:bCs w:val="false"/>
                <w:sz w:val="18"/>
                <w:szCs w:val="18"/>
                <w:vertAlign w:val="subscript"/>
              </w:rPr>
              <w:t xml:space="preserve">ref</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Tri(0.92, 0.95, 0.98)</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Szklo and Schaeffer (2007)</w:t>
            </w:r>
          </w:p>
        </w:tc>
      </w:tr>
      <w:tr>
        <w:trPr>
          <w:cantSplit/>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Oil-field gas combusted (share)</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U(0, 0.30)</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Triangulation (Section 3.2)</w:t>
            </w:r>
          </w:p>
        </w:tc>
      </w:tr>
      <w:tr>
        <w:trPr>
          <w:cantSplit/>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LNG and refinery losses combusted</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U(0.80, 1.00)</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Plant fuel vs. losses</w:t>
            </w:r>
          </w:p>
        </w:tc>
      </w:tr>
      <w:tr>
        <w:trPr>
          <w:cantSplit/>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Grid fleet efficiency η</w:t>
            </w:r>
            <w:r>
              <w:rPr>
                <w:rFonts w:ascii="Times New Roman" w:cs="Times New Roman" w:eastAsia="Times New Roman" w:hAnsi="Times New Roman"/>
                <w:b w:val="false"/>
                <w:bCs w:val="false"/>
                <w:sz w:val="18"/>
                <w:szCs w:val="18"/>
                <w:vertAlign w:val="subscript"/>
              </w:rPr>
              <w:t xml:space="preserve">pp</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Tri(0.40, 0.45, 0.50)</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CCGT-dominated fleet</w:t>
            </w:r>
          </w:p>
        </w:tc>
      </w:tr>
      <w:tr>
        <w:trPr>
          <w:cantSplit/>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Displaced plant efficiency η</w:t>
            </w:r>
            <w:r>
              <w:rPr>
                <w:rFonts w:ascii="Times New Roman" w:cs="Times New Roman" w:eastAsia="Times New Roman" w:hAnsi="Times New Roman"/>
                <w:b w:val="false"/>
                <w:bCs w:val="false"/>
                <w:sz w:val="18"/>
                <w:szCs w:val="18"/>
                <w:vertAlign w:val="subscript"/>
              </w:rPr>
              <w:t xml:space="preserve">marg</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Tri(0.35, 0.45, 0.55)</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OCGT–CCGT range</w:t>
            </w:r>
          </w:p>
        </w:tc>
      </w:tr>
      <w:tr>
        <w:trPr>
          <w:cantSplit/>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Non-energy share of naphtha/other</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U(0.60, 1.00)</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Petrochemicals, bitumen, lubricants</w:t>
            </w:r>
          </w:p>
        </w:tc>
      </w:tr>
      <w:tr>
        <w:trPr>
          <w:cantSplit/>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LPG used by households</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U(0.50, 0.90)</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Cooking demand</w:t>
            </w:r>
          </w:p>
        </w:tc>
      </w:tr>
      <w:tr>
        <w:trPr>
          <w:cantSplit/>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Jet fuel in retail (kbbl); international share</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6,000; 0.90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U(4,000, 9,000); U(0.80, 0.95)</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Airport throughput</w:t>
            </w:r>
          </w:p>
        </w:tc>
      </w:tr>
      <w:tr>
        <w:trPr>
          <w:cantSplit/>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LNG price; domestic gas price; liquefaction cost (USD/MMBtu)</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 3; 1</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U(6, 14); U(2, 4); U(0.5, 1.5)</w:t>
            </w:r>
          </w:p>
        </w:tc>
        <w:tc>
          <w:tcPr>
            <w:tcW w:type="dxa" w:w="23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Market range; Gulf News (2013)</w:t>
            </w:r>
          </w:p>
        </w:tc>
      </w:tr>
    </w:tbl>
    <w:p>
      <w:pPr>
        <w:spacing w:after="240" w:before="60" w:line="240"/>
      </w:pPr>
      <w:r>
        <w:rPr>
          <w:rFonts w:ascii="Times New Roman" w:cs="Times New Roman" w:eastAsia="Times New Roman" w:hAnsi="Times New Roman"/>
          <w:sz w:val="18"/>
          <w:szCs w:val="18"/>
        </w:rPr>
        <w:t xml:space="preserve"> </w:t>
      </w:r>
    </w:p>
    <w:p>
      <w:pPr>
        <w:pStyle w:val="Heading2"/>
        <w:keepNext/>
        <w:spacing w:after="0" w:before="120" w:line="480"/>
      </w:pPr>
      <w:r>
        <w:rPr>
          <w:rFonts w:ascii="Times New Roman" w:cs="Times New Roman" w:eastAsia="Times New Roman" w:hAnsi="Times New Roman"/>
          <w:b/>
          <w:bCs/>
          <w:i w:val="false"/>
          <w:iCs w:val="false"/>
          <w:sz w:val="24"/>
          <w:szCs w:val="24"/>
        </w:rPr>
        <w:t xml:space="preserve">2.7. Time series and decomposition</w:t>
      </w:r>
    </w:p>
    <w:p>
      <w:pPr>
        <w:spacing w:after="0" w:before="0" w:line="480"/>
        <w:ind w:firstLine="360"/>
        <w:jc w:val="both"/>
      </w:pPr>
      <w:r>
        <w:t xml:space="preserve">For 2015–2024 we use primary energy and gas consumption from the Energy Institute, electricity data from Ember, and CO₂ from fuel combustion and flaring from the Global Carbon Project, all compiled by Our World in Data (Energy Institute, 2025; Ember, 2026; Our World in Data, 2026). Real GDP is extended beyond 2022 with official growth rates of 1.3% in 2023 and 1.7% in 2024 (IMF, 2024; Ministry of Finance, 2025). We decompose the change in CO₂ with the additive LMDI-I method (Ang, 2015) applied to the Kaya identity (Kaya and Yokobori, 1997):</w:t>
      </w:r>
    </w:p>
    <w:p>
      <w:pPr>
        <w:tabs>
          <w:tab w:val="center" w:pos="4680"/>
          <w:tab w:val="right" w:pos="9360"/>
        </w:tabs>
        <w:spacing w:after="60" w:before="60" w:line="48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2"/>
          <w:szCs w:val="22"/>
        </w:rPr>
        <w:t xml:space="preserve">C = P × (G/P) × (E/G) × (C/E) ,   ΔC</w:t>
      </w:r>
      <w:r>
        <w:rPr>
          <w:rFonts w:ascii="Times New Roman" w:cs="Times New Roman" w:eastAsia="Times New Roman" w:hAnsi="Times New Roman"/>
          <w:i/>
          <w:iCs/>
          <w:sz w:val="22"/>
          <w:szCs w:val="22"/>
          <w:vertAlign w:val="subscript"/>
        </w:rPr>
        <w:t xml:space="preserve">x</w:t>
      </w:r>
      <w:r>
        <w:rPr>
          <w:rFonts w:ascii="Times New Roman" w:cs="Times New Roman" w:eastAsia="Times New Roman" w:hAnsi="Times New Roman"/>
          <w:i/>
          <w:iCs/>
          <w:sz w:val="22"/>
          <w:szCs w:val="22"/>
        </w:rPr>
        <w:t xml:space="preserve"> = [(C</w:t>
      </w:r>
      <w:r>
        <w:rPr>
          <w:rFonts w:ascii="Times New Roman" w:cs="Times New Roman" w:eastAsia="Times New Roman" w:hAnsi="Times New Roman"/>
          <w:i/>
          <w:iCs/>
          <w:sz w:val="22"/>
          <w:szCs w:val="22"/>
          <w:vertAlign w:val="subscript"/>
        </w:rPr>
        <w:t xml:space="preserve">T</w:t>
      </w:r>
      <w:r>
        <w:rPr>
          <w:rFonts w:ascii="Times New Roman" w:cs="Times New Roman" w:eastAsia="Times New Roman" w:hAnsi="Times New Roman"/>
          <w:i/>
          <w:iCs/>
          <w:sz w:val="22"/>
          <w:szCs w:val="22"/>
        </w:rPr>
        <w:t xml:space="preserve"> − C</w:t>
      </w:r>
      <w:r>
        <w:rPr>
          <w:rFonts w:ascii="Times New Roman" w:cs="Times New Roman" w:eastAsia="Times New Roman" w:hAnsi="Times New Roman"/>
          <w:i/>
          <w:iCs/>
          <w:sz w:val="22"/>
          <w:szCs w:val="22"/>
          <w:vertAlign w:val="subscript"/>
        </w:rPr>
        <w:t xml:space="preserve">0</w:t>
      </w:r>
      <w:r>
        <w:rPr>
          <w:rFonts w:ascii="Times New Roman" w:cs="Times New Roman" w:eastAsia="Times New Roman" w:hAnsi="Times New Roman"/>
          <w:i/>
          <w:iCs/>
          <w:sz w:val="22"/>
          <w:szCs w:val="22"/>
        </w:rPr>
        <w:t xml:space="preserve">)/(ln C</w:t>
      </w:r>
      <w:r>
        <w:rPr>
          <w:rFonts w:ascii="Times New Roman" w:cs="Times New Roman" w:eastAsia="Times New Roman" w:hAnsi="Times New Roman"/>
          <w:i/>
          <w:iCs/>
          <w:sz w:val="22"/>
          <w:szCs w:val="22"/>
          <w:vertAlign w:val="subscript"/>
        </w:rPr>
        <w:t xml:space="preserve">T</w:t>
      </w:r>
      <w:r>
        <w:rPr>
          <w:rFonts w:ascii="Times New Roman" w:cs="Times New Roman" w:eastAsia="Times New Roman" w:hAnsi="Times New Roman"/>
          <w:i/>
          <w:iCs/>
          <w:sz w:val="22"/>
          <w:szCs w:val="22"/>
        </w:rPr>
        <w:t xml:space="preserve"> − ln C</w:t>
      </w:r>
      <w:r>
        <w:rPr>
          <w:rFonts w:ascii="Times New Roman" w:cs="Times New Roman" w:eastAsia="Times New Roman" w:hAnsi="Times New Roman"/>
          <w:i/>
          <w:iCs/>
          <w:sz w:val="22"/>
          <w:szCs w:val="22"/>
          <w:vertAlign w:val="subscript"/>
        </w:rPr>
        <w:t xml:space="preserve">0</w:t>
      </w:r>
      <w:r>
        <w:rPr>
          <w:rFonts w:ascii="Times New Roman" w:cs="Times New Roman" w:eastAsia="Times New Roman" w:hAnsi="Times New Roman"/>
          <w:i/>
          <w:iCs/>
          <w:sz w:val="22"/>
          <w:szCs w:val="22"/>
        </w:rPr>
        <w:t xml:space="preserve">)] × ln(x</w:t>
      </w:r>
      <w:r>
        <w:rPr>
          <w:rFonts w:ascii="Times New Roman" w:cs="Times New Roman" w:eastAsia="Times New Roman" w:hAnsi="Times New Roman"/>
          <w:i/>
          <w:iCs/>
          <w:sz w:val="22"/>
          <w:szCs w:val="22"/>
          <w:vertAlign w:val="subscript"/>
        </w:rPr>
        <w:t xml:space="preserve">T</w:t>
      </w:r>
      <w:r>
        <w:rPr>
          <w:rFonts w:ascii="Times New Roman" w:cs="Times New Roman" w:eastAsia="Times New Roman" w:hAnsi="Times New Roman"/>
          <w:i/>
          <w:iCs/>
          <w:sz w:val="22"/>
          <w:szCs w:val="22"/>
        </w:rPr>
        <w:t xml:space="preserve">/x</w:t>
      </w:r>
      <w:r>
        <w:rPr>
          <w:rFonts w:ascii="Times New Roman" w:cs="Times New Roman" w:eastAsia="Times New Roman" w:hAnsi="Times New Roman"/>
          <w:i/>
          <w:iCs/>
          <w:sz w:val="22"/>
          <w:szCs w:val="22"/>
          <w:vertAlign w:val="subscript"/>
        </w:rPr>
        <w:t xml:space="preserve">0</w:t>
      </w:r>
      <w:r>
        <w:rPr>
          <w:rFonts w:ascii="Times New Roman" w:cs="Times New Roman" w:eastAsia="Times New Roman" w:hAnsi="Times New Roman"/>
          <w:i/>
          <w:iCs/>
          <w:sz w:val="22"/>
          <w:szCs w:val="22"/>
        </w:rPr>
        <w:t xml:space="preserve">)</w:t>
      </w:r>
      <w:r>
        <w:rPr>
          <w:rFonts w:ascii="Times New Roman" w:cs="Times New Roman" w:eastAsia="Times New Roman" w:hAnsi="Times New Roman"/>
          <w:sz w:val="24"/>
          <w:szCs w:val="24"/>
        </w:rPr>
        <w:t xml:space="preserve">	(6)</w:t>
      </w:r>
    </w:p>
    <w:p>
      <w:pPr>
        <w:spacing w:after="0" w:before="0" w:line="480"/>
        <w:ind w:firstLine="360"/>
        <w:jc w:val="both"/>
      </w:pPr>
      <w:r>
        <w:t xml:space="preserve">where </w:t>
      </w:r>
      <w:r>
        <w:rPr>
          <w:i/>
          <w:iCs/>
        </w:rPr>
        <w:t xml:space="preserve">P</w:t>
      </w:r>
      <w:r>
        <w:t xml:space="preserve"> is population, </w:t>
      </w:r>
      <w:r>
        <w:rPr>
          <w:i/>
          <w:iCs/>
        </w:rPr>
        <w:t xml:space="preserve">G</w:t>
      </w:r>
      <w:r>
        <w:t xml:space="preserve"> real GDP, </w:t>
      </w:r>
      <w:r>
        <w:rPr>
          <w:i/>
          <w:iCs/>
        </w:rPr>
        <w:t xml:space="preserve">E</w:t>
      </w:r>
      <w:r>
        <w:t xml:space="preserve"> primary energy and </w:t>
      </w:r>
      <w:r>
        <w:rPr>
          <w:i/>
          <w:iCs/>
        </w:rPr>
        <w:t xml:space="preserve">C</w:t>
      </w:r>
      <w:r>
        <w:t xml:space="preserve"> CO₂, and </w:t>
      </w:r>
      <w:r>
        <w:rPr>
          <w:i/>
          <w:iCs/>
        </w:rPr>
        <w:t xml:space="preserve">x</w:t>
      </w:r>
      <w:r>
        <w:t xml:space="preserve"> denotes each of the four factors (population, affluence, energy intensity and carbon intensity).</w:t>
      </w:r>
    </w:p>
    <w:p>
      <w:pPr>
        <w:pStyle w:val="Heading2"/>
        <w:keepNext/>
        <w:spacing w:after="0" w:before="120" w:line="480"/>
      </w:pPr>
      <w:r>
        <w:rPr>
          <w:rFonts w:ascii="Times New Roman" w:cs="Times New Roman" w:eastAsia="Times New Roman" w:hAnsi="Times New Roman"/>
          <w:b/>
          <w:bCs/>
          <w:i w:val="false"/>
          <w:iCs w:val="false"/>
          <w:sz w:val="24"/>
          <w:szCs w:val="24"/>
        </w:rPr>
        <w:t xml:space="preserve">2.8. Rent incidence and the dual dividend</w:t>
      </w:r>
    </w:p>
    <w:p>
      <w:pPr>
        <w:spacing w:after="0" w:before="0" w:line="480"/>
        <w:ind w:firstLine="360"/>
        <w:jc w:val="both"/>
      </w:pPr>
      <w:r>
        <w:t xml:space="preserve">We value each unit of domestically combusted gas at its export opportunity cost: the LNG price multiplied by the liquefaction efficiency, less the liquefaction cost and the regulated domestic price. Industrial users have paid about USD 3/MMBtu since 2015 (Gulf News, 2013):</w:t>
      </w:r>
    </w:p>
    <w:p>
      <w:pPr>
        <w:tabs>
          <w:tab w:val="center" w:pos="4680"/>
          <w:tab w:val="right" w:pos="9360"/>
        </w:tabs>
        <w:spacing w:after="60" w:before="60" w:line="48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2"/>
          <w:szCs w:val="22"/>
        </w:rPr>
        <w:t xml:space="preserve">r = P</w:t>
      </w:r>
      <w:r>
        <w:rPr>
          <w:rFonts w:ascii="Times New Roman" w:cs="Times New Roman" w:eastAsia="Times New Roman" w:hAnsi="Times New Roman"/>
          <w:i/>
          <w:iCs/>
          <w:sz w:val="22"/>
          <w:szCs w:val="22"/>
          <w:vertAlign w:val="subscript"/>
        </w:rPr>
        <w:t xml:space="preserve">LNG</w:t>
      </w:r>
      <w:r>
        <w:rPr>
          <w:rFonts w:ascii="Times New Roman" w:cs="Times New Roman" w:eastAsia="Times New Roman" w:hAnsi="Times New Roman"/>
          <w:i/>
          <w:iCs/>
          <w:sz w:val="22"/>
          <w:szCs w:val="22"/>
        </w:rPr>
        <w:t xml:space="preserve"> × η</w:t>
      </w:r>
      <w:r>
        <w:rPr>
          <w:rFonts w:ascii="Times New Roman" w:cs="Times New Roman" w:eastAsia="Times New Roman" w:hAnsi="Times New Roman"/>
          <w:i/>
          <w:iCs/>
          <w:sz w:val="22"/>
          <w:szCs w:val="22"/>
          <w:vertAlign w:val="subscript"/>
        </w:rPr>
        <w:t xml:space="preserve">LNG</w:t>
      </w:r>
      <w:r>
        <w:rPr>
          <w:rFonts w:ascii="Times New Roman" w:cs="Times New Roman" w:eastAsia="Times New Roman" w:hAnsi="Times New Roman"/>
          <w:i/>
          <w:iCs/>
          <w:sz w:val="22"/>
          <w:szCs w:val="22"/>
        </w:rPr>
        <w:t xml:space="preserve"> − c</w:t>
      </w:r>
      <w:r>
        <w:rPr>
          <w:rFonts w:ascii="Times New Roman" w:cs="Times New Roman" w:eastAsia="Times New Roman" w:hAnsi="Times New Roman"/>
          <w:i/>
          <w:iCs/>
          <w:sz w:val="22"/>
          <w:szCs w:val="22"/>
          <w:vertAlign w:val="subscript"/>
        </w:rPr>
        <w:t xml:space="preserve">liq</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i/>
          <w:iCs/>
          <w:sz w:val="22"/>
          <w:szCs w:val="22"/>
          <w:vertAlign w:val="subscript"/>
        </w:rPr>
        <w:t xml:space="preserve">dom</w:t>
      </w:r>
      <w:r>
        <w:rPr>
          <w:rFonts w:ascii="Times New Roman" w:cs="Times New Roman" w:eastAsia="Times New Roman" w:hAnsi="Times New Roman"/>
          <w:i/>
          <w:iCs/>
          <w:sz w:val="22"/>
          <w:szCs w:val="22"/>
        </w:rPr>
        <w:t xml:space="preserve"> ,   Rent</w:t>
      </w:r>
      <w:r>
        <w:rPr>
          <w:rFonts w:ascii="Times New Roman" w:cs="Times New Roman" w:eastAsia="Times New Roman" w:hAnsi="Times New Roman"/>
          <w:i/>
          <w:iCs/>
          <w:sz w:val="22"/>
          <w:szCs w:val="22"/>
          <w:vertAlign w:val="subscript"/>
        </w:rPr>
        <w:t xml:space="preserve">s</w:t>
      </w:r>
      <w:r>
        <w:rPr>
          <w:rFonts w:ascii="Times New Roman" w:cs="Times New Roman" w:eastAsia="Times New Roman" w:hAnsi="Times New Roman"/>
          <w:i/>
          <w:iCs/>
          <w:sz w:val="22"/>
          <w:szCs w:val="22"/>
        </w:rPr>
        <w:t xml:space="preserve"> = Q</w:t>
      </w:r>
      <w:r>
        <w:rPr>
          <w:rFonts w:ascii="Times New Roman" w:cs="Times New Roman" w:eastAsia="Times New Roman" w:hAnsi="Times New Roman"/>
          <w:i/>
          <w:iCs/>
          <w:sz w:val="22"/>
          <w:szCs w:val="22"/>
          <w:vertAlign w:val="subscript"/>
        </w:rPr>
        <w:t xml:space="preserve">s</w:t>
      </w:r>
      <w:r>
        <w:rPr>
          <w:rFonts w:ascii="Times New Roman" w:cs="Times New Roman" w:eastAsia="Times New Roman" w:hAnsi="Times New Roman"/>
          <w:i/>
          <w:iCs/>
          <w:sz w:val="22"/>
          <w:szCs w:val="22"/>
        </w:rPr>
        <w:t xml:space="preserve"> × r</w:t>
      </w:r>
      <w:r>
        <w:rPr>
          <w:rFonts w:ascii="Times New Roman" w:cs="Times New Roman" w:eastAsia="Times New Roman" w:hAnsi="Times New Roman"/>
          <w:sz w:val="24"/>
          <w:szCs w:val="24"/>
        </w:rPr>
        <w:t xml:space="preserve">	(7)</w:t>
      </w:r>
    </w:p>
    <w:p>
      <w:pPr>
        <w:spacing w:after="0" w:before="0" w:line="480"/>
        <w:ind w:firstLine="360"/>
        <w:jc w:val="both"/>
      </w:pPr>
      <w:r>
        <w:t xml:space="preserve">where </w:t>
      </w:r>
      <w:r>
        <w:rPr>
          <w:i/>
          <w:iCs/>
        </w:rPr>
        <w:t xml:space="preserve">Q</w:t>
      </w:r>
      <w:r>
        <w:rPr>
          <w:vertAlign w:val="subscript"/>
        </w:rPr>
        <w:t xml:space="preserve">s</w:t>
      </w:r>
      <w:r>
        <w:t xml:space="preserve"> is the gas burnt by sector </w:t>
      </w:r>
      <w:r>
        <w:rPr>
          <w:i/>
          <w:iCs/>
        </w:rPr>
        <w:t xml:space="preserve">s</w:t>
      </w:r>
      <w:r>
        <w:t xml:space="preserve">. The rent preserved by renewables is the freed gas multiplied by </w:t>
      </w:r>
      <w:r>
        <w:rPr>
          <w:i/>
          <w:iCs/>
        </w:rPr>
        <w:t xml:space="preserve">r</w:t>
      </w:r>
      <w:r>
        <w:t xml:space="preserve">. These are gross opportunity costs that assume spare liquefaction capacity or new export outlets; they indicate the scale of implicit transfers, not realisable revenue.</w:t>
      </w:r>
    </w:p>
    <w:p>
      <w:pPr>
        <w:pStyle w:val="Heading1"/>
        <w:keepNext/>
        <w:spacing w:after="0" w:before="240" w:line="480"/>
      </w:pPr>
      <w:r>
        <w:rPr>
          <w:rFonts w:ascii="Times New Roman" w:cs="Times New Roman" w:eastAsia="Times New Roman" w:hAnsi="Times New Roman"/>
          <w:b/>
          <w:bCs/>
          <w:i w:val="false"/>
          <w:iCs w:val="false"/>
          <w:sz w:val="26"/>
          <w:szCs w:val="26"/>
        </w:rPr>
        <w:t xml:space="preserve">3. Results</w:t>
      </w:r>
    </w:p>
    <w:p>
      <w:pPr>
        <w:pStyle w:val="Heading2"/>
        <w:keepNext/>
        <w:spacing w:after="0" w:before="120" w:line="480"/>
      </w:pPr>
      <w:r>
        <w:rPr>
          <w:rFonts w:ascii="Times New Roman" w:cs="Times New Roman" w:eastAsia="Times New Roman" w:hAnsi="Times New Roman"/>
          <w:b/>
          <w:bCs/>
          <w:i w:val="false"/>
          <w:iCs w:val="false"/>
          <w:sz w:val="24"/>
          <w:szCs w:val="24"/>
        </w:rPr>
        <w:t xml:space="preserve">3.1. The reconciled 2025 energy balance</w:t>
      </w:r>
    </w:p>
    <w:p>
      <w:pPr>
        <w:spacing w:after="0" w:before="0" w:line="480"/>
        <w:ind w:firstLine="360"/>
        <w:jc w:val="both"/>
      </w:pPr>
      <w:r>
        <w:t xml:space="preserve">Table 5 presents the reconciled balance, and Fig. 2 traces the corresponding flows. Indigenous production is 91,492 ktoe, of which crude oil contributes 54.4%, marketable natural gas 45.2% and solar and wind 0.4%. After imports of 9,841 ktoe, exports of 61,233 ktoe and bunkers of 1,177 ktoe, TPES is 38,923 ktoe. TFC is 23,280 ktoe (60% of TPES). Every column closes; the only residual is a statistical difference of 0.9 ktoe in natural gas, below 0.01% of gas supply.</w:t>
      </w:r>
    </w:p>
    <w:p>
      <w:pPr>
        <w:keepNext/>
        <w:spacing w:after="80" w:before="240" w:line="276"/>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sz w:val="20"/>
          <w:szCs w:val="20"/>
        </w:rPr>
        <w:t xml:space="preserve">Reconciled energy balance of Oman, 2025 (ktoe; central case H1).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8"/>
        <w:gridCol w:w="941"/>
        <w:gridCol w:w="941"/>
        <w:gridCol w:w="941"/>
        <w:gridCol w:w="941"/>
        <w:gridCol w:w="847"/>
        <w:gridCol w:w="800"/>
        <w:gridCol w:w="988"/>
        <w:gridCol w:w="1033"/>
      </w:tblGrid>
      <w:tr>
        <w:trPr>
          <w:tblHeader/>
        </w:trPr>
        <w:tc>
          <w:tcPr>
            <w:tcW w:type="dxa" w:w="1928"/>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6"/>
                <w:szCs w:val="16"/>
              </w:rPr>
              <w:t xml:space="preserve">Flow (ktoe)</w:t>
            </w:r>
          </w:p>
        </w:tc>
        <w:tc>
          <w:tcPr>
            <w:tcW w:type="dxa" w:w="941"/>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Crude oil</w:t>
            </w:r>
          </w:p>
        </w:tc>
        <w:tc>
          <w:tcPr>
            <w:tcW w:type="dxa" w:w="941"/>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Refined products</w:t>
            </w:r>
          </w:p>
        </w:tc>
        <w:tc>
          <w:tcPr>
            <w:tcW w:type="dxa" w:w="941"/>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Natural gas</w:t>
            </w:r>
          </w:p>
        </w:tc>
        <w:tc>
          <w:tcPr>
            <w:tcW w:type="dxa" w:w="941"/>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LNG</w:t>
            </w:r>
          </w:p>
        </w:tc>
        <w:tc>
          <w:tcPr>
            <w:tcW w:type="dxa" w:w="847"/>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Coal &amp; lignite</w:t>
            </w:r>
          </w:p>
        </w:tc>
        <w:tc>
          <w:tcPr>
            <w:tcW w:type="dxa" w:w="8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Solar &amp; wind</w:t>
            </w:r>
          </w:p>
        </w:tc>
        <w:tc>
          <w:tcPr>
            <w:tcW w:type="dxa" w:w="988"/>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Electricity</w:t>
            </w:r>
          </w:p>
        </w:tc>
        <w:tc>
          <w:tcPr>
            <w:tcW w:type="dxa" w:w="1033"/>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Total</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Indigenous production</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49,742.6</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41,361.2</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387.8</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91,491.6</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Imports</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9,668.9</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172.1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9,841.0</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Exports</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-31,345.5</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-16,578.1</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-13,305.9</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-3.3</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-61,232.8</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International marine bunkers</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-453.8</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-453.8</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International aviation bunkers</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-723.4</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-723.4</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6"/>
                <w:szCs w:val="16"/>
              </w:rPr>
              <w:t xml:space="preserve">TPES</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28,066.0</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-17,755.4</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41,361.2</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-13,305.9</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168.7</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387.8</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38,922.5</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Oil refineries</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-28,066.0</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26,662.7</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-1,403.3</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Power-and-water plants</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-13,974.0</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-387.8</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4,383.7</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-9,978.1</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LNG plants</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-15,273.3</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13,305.9</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-1,967.4</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Upstream own use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-1,782.0</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-1,782.0</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Distribution losses</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-510.9</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-510.9</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Statistical difference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0.0</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0.0</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0.9</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0.0</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0.0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0.0</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0.0</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0.9</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6"/>
                <w:szCs w:val="16"/>
              </w:rPr>
              <w:t xml:space="preserve">TFC</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8,907.4</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10,331.0</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168.7</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3,872.8</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6"/>
                <w:szCs w:val="16"/>
              </w:rPr>
              <w:t xml:space="preserve">23,280.0</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  Industrial</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1,228.8</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10,331.0</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168.7</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699.7</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12,428.3</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  Transport</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4,555.0</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4,555.0</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  Residential</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627.7</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1,601.7</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2,229.4</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  Commercial and government</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1,436.2</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1,436.2</w:t>
            </w:r>
          </w:p>
        </w:tc>
      </w:tr>
      <w:tr>
        <w:trPr>
          <w:cantSplit/>
        </w:trPr>
        <w:tc>
          <w:tcPr>
            <w:tcW w:type="dxa" w:w="19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  Agriculture &amp; other</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135.1</w:t>
            </w:r>
          </w:p>
        </w:tc>
        <w:tc>
          <w:tcPr>
            <w:tcW w:type="dxa" w:w="103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135.1</w:t>
            </w:r>
          </w:p>
        </w:tc>
      </w:tr>
      <w:tr>
        <w:trPr>
          <w:cantSplit/>
        </w:trPr>
        <w:tc>
          <w:tcPr>
            <w:tcW w:type="dxa" w:w="1928"/>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6"/>
                <w:szCs w:val="16"/>
              </w:rPr>
              <w:t xml:space="preserve">  Non-energy use</w:t>
            </w:r>
          </w:p>
        </w:tc>
        <w:tc>
          <w:tcPr>
            <w:tcW w:type="dxa" w:w="941"/>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2,495.9</w:t>
            </w:r>
          </w:p>
        </w:tc>
        <w:tc>
          <w:tcPr>
            <w:tcW w:type="dxa" w:w="941"/>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41"/>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47"/>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988"/>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w:t>
            </w:r>
          </w:p>
        </w:tc>
        <w:tc>
          <w:tcPr>
            <w:tcW w:type="dxa" w:w="1033"/>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6"/>
                <w:szCs w:val="16"/>
              </w:rPr>
              <w:t xml:space="preserve">2,495.9</w:t>
            </w:r>
          </w:p>
        </w:tc>
      </w:tr>
    </w:tbl>
    <w:p>
      <w:pPr>
        <w:spacing w:after="240" w:before="60" w:line="240"/>
      </w:pPr>
      <w:r>
        <w:rPr>
          <w:rFonts w:ascii="Times New Roman" w:cs="Times New Roman" w:eastAsia="Times New Roman" w:hAnsi="Times New Roman"/>
          <w:sz w:val="18"/>
          <w:szCs w:val="18"/>
        </w:rPr>
        <w:t xml:space="preserve">Negative transformation entries are inputs and positive entries outputs. Crude oil exports are reconciled to refinery intake (Section 2.4.1); natural gas production excludes reinjection. Totals may not sum exactly owing to rounding.</w:t>
      </w:r>
    </w:p>
    <w:p>
      <w:pPr>
        <w:keepNext/>
        <w:spacing w:before="240"/>
        <w:jc w:val="center"/>
      </w:pPr>
      <w:r>
        <w:drawing>
          <wp:inline distT="0" distB="0" distL="0" distR="0">
            <wp:extent cx="5810250" cy="4105275"/>
            <wp:effectExtent t="0" r="0" b="0" l="0"/>
            <wp:docPr id="1" name="fig2" descr="Energy flows in Oman's reconciled 2025 balance (ktoe)."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4105275"/>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Energy flows in Oman's reconciled 2025 balance (ktoe).</w:t>
      </w:r>
    </w:p>
    <w:p>
      <w:pPr>
        <w:pStyle w:val="Heading2"/>
        <w:keepNext/>
        <w:spacing w:after="0" w:before="120" w:line="480"/>
      </w:pPr>
      <w:r>
        <w:rPr>
          <w:rFonts w:ascii="Times New Roman" w:cs="Times New Roman" w:eastAsia="Times New Roman" w:hAnsi="Times New Roman"/>
          <w:b/>
          <w:bCs/>
          <w:i w:val="false"/>
          <w:iCs w:val="false"/>
          <w:sz w:val="24"/>
          <w:szCs w:val="24"/>
        </w:rPr>
        <w:t xml:space="preserve">3.2. Diagnostics and triangulation</w:t>
      </w:r>
    </w:p>
    <w:p>
      <w:pPr>
        <w:spacing w:after="0" w:before="0" w:line="480"/>
        <w:ind w:firstLine="360"/>
        <w:jc w:val="both"/>
      </w:pPr>
      <w:r>
        <w:t xml:space="preserve">Fig. 3 and Table 6 document the diagnostics. Recorded refinery intake falls short of the intake implied by output by 10,537 ktoe (Fig. 3a). The as-compiled TPES of 41,762 ktoe changes through six corrections (Fig. 3b). Restating primary electricity removes 3,996 ktoe, excluding reinjection 10,098 ktoe, the LNG factor 989 ktoe and aviation bunkers 723 ktoe. Product-specific factors lower the energy content of product exports and add 2,430 ktoe, and crude reconciliation adds 10,537 ktoe. The corrections are of similar size and opposite sign, so they largely offset in aggregate (−6.8%), but they substantially change the composition of supply.</w:t>
      </w:r>
    </w:p>
    <w:p>
      <w:pPr>
        <w:spacing w:after="0" w:before="0" w:line="480"/>
        <w:ind w:firstLine="360"/>
        <w:jc w:val="both"/>
      </w:pPr>
      <w:r>
        <w:t xml:space="preserve">Triangulation supports the reconciled accounts (Fig. 3c). Reconciled TPES (38.9 Mtoe) lies within 1.3% of the Energy Institute's 2024 primary energy estimate (38.4 Mtoe). Domestic gas combustion (28.1 Mtoe) lies within 4% of the Energy Institute's gas consumption (27.2 Mtoe), and gas-combustion CO₂ (65.4 Mt) lies within 3% of the Global Carbon Project estimate (63.6 Mt). These matches hold only if most oil-field gas is reinjected; if all 11,880 ktoe were burnt, gas CO₂ would exceed the independent estimate by about 26 Mt. Petroleum CO₂ (22.0 Mt) remains above the Global Carbon Project series (12.4 Mt). Road transport alone accounts for 13.5 Mt on the basis of metered retail sales, which suggests that the international series underestimate Oman's oil combustion.</w:t>
      </w:r>
    </w:p>
    <w:p>
      <w:pPr>
        <w:keepNext/>
        <w:spacing w:before="240"/>
        <w:jc w:val="center"/>
      </w:pPr>
      <w:r>
        <w:drawing>
          <wp:inline distT="0" distB="0" distL="0" distR="0">
            <wp:extent cx="5810250" cy="2409825"/>
            <wp:effectExtent t="0" r="0" b="0" l="0"/>
            <wp:docPr id="1" name="fig3" descr="Closure diagnostics. (a) Refinery closure: recorded crude intake, intake implied by output and refinery output. (b) Reconciliation of TPES from the as-compiled to the reconciled balance. (c) Triangulation against Energy Institute (EI) and Global Carbon Project (GCP) estimates for 2024."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409825"/>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Closure diagnostics. (a) Refinery closure: recorded crude intake, intake implied by output and refinery output. (b) Reconciliation of TPES from the as-compiled to the reconciled balance. (c) Triangulation against Energy Institute (EI) and Global Carbon Project (GCP) estimates for 2024.</w:t>
      </w:r>
    </w:p>
    <w:p>
      <w:pPr>
        <w:keepNext/>
        <w:spacing w:after="80" w:before="240" w:line="276"/>
      </w:pPr>
      <w:r>
        <w:rPr>
          <w:rFonts w:ascii="Times New Roman" w:cs="Times New Roman" w:eastAsia="Times New Roman" w:hAnsi="Times New Roman"/>
          <w:b/>
          <w:bCs/>
          <w:sz w:val="20"/>
          <w:szCs w:val="20"/>
        </w:rPr>
        <w:t xml:space="preserve">Table 6. </w:t>
      </w:r>
      <w:r>
        <w:rPr>
          <w:rFonts w:ascii="Times New Roman" w:cs="Times New Roman" w:eastAsia="Times New Roman" w:hAnsi="Times New Roman"/>
          <w:sz w:val="20"/>
          <w:szCs w:val="20"/>
        </w:rPr>
        <w:t xml:space="preserve">Diagnostic findings and treatments.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700"/>
        <w:gridCol w:w="2260"/>
      </w:tblGrid>
      <w:tr>
        <w:trPr>
          <w:tblHeader/>
        </w:trPr>
        <w:tc>
          <w:tcPr>
            <w:tcW w:type="dxa" w:w="21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Issue</w:t>
            </w:r>
          </w:p>
        </w:tc>
        <w:tc>
          <w:tcPr>
            <w:tcW w:type="dxa" w:w="23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Test and finding</w:t>
            </w:r>
          </w:p>
        </w:tc>
        <w:tc>
          <w:tcPr>
            <w:tcW w:type="dxa" w:w="27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Treatment</w:t>
            </w:r>
          </w:p>
        </w:tc>
        <w:tc>
          <w:tcPr>
            <w:tcW w:type="dxa" w:w="22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Effect on TPES (ktoe)</w:t>
            </w:r>
          </w:p>
        </w:tc>
      </w:tr>
      <w:tr>
        <w:trPr>
          <w:cantSplit/>
        </w:trPr>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Thermal electricity recorded as primary energy</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IRES definition</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Primary electricity = solar and wind</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−3,996</w:t>
            </w:r>
          </w:p>
        </w:tc>
      </w:tr>
      <w:tr>
        <w:trPr>
          <w:cantSplit/>
        </w:trPr>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Oil-field gas includes reinjection</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T3: gas CO₂ and consumption exceed EI/GCP if all burnt</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 combusted; remainder excluded from production</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−10,098</w:t>
            </w:r>
          </w:p>
        </w:tc>
      </w:tr>
      <w:tr>
        <w:trPr>
          <w:cantSplit/>
        </w:trPr>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LNG factor 1.09 toe/t; η</w:t>
            </w:r>
            <w:r>
              <w:rPr>
                <w:rFonts w:ascii="Times New Roman" w:cs="Times New Roman" w:eastAsia="Times New Roman" w:hAnsi="Times New Roman"/>
                <w:b w:val="false"/>
                <w:bCs w:val="false"/>
                <w:sz w:val="18"/>
                <w:szCs w:val="18"/>
                <w:vertAlign w:val="subscript"/>
              </w:rPr>
              <w:t xml:space="preserve">LNG</w:t>
            </w:r>
            <w:r>
              <w:rPr>
                <w:rFonts w:ascii="Times New Roman" w:cs="Times New Roman" w:eastAsia="Times New Roman" w:hAnsi="Times New Roman"/>
                <w:b w:val="false"/>
                <w:bCs w:val="false"/>
                <w:sz w:val="18"/>
                <w:szCs w:val="18"/>
              </w:rPr>
              <w:t xml:space="preserve"> 80.6%</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T2: below plant range</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1.178 toe/t; η</w:t>
            </w:r>
            <w:r>
              <w:rPr>
                <w:rFonts w:ascii="Times New Roman" w:cs="Times New Roman" w:eastAsia="Times New Roman" w:hAnsi="Times New Roman"/>
                <w:b w:val="false"/>
                <w:bCs w:val="false"/>
                <w:sz w:val="18"/>
                <w:szCs w:val="18"/>
                <w:vertAlign w:val="subscript"/>
              </w:rPr>
              <w:t xml:space="preserve">LNG</w:t>
            </w:r>
            <w:r>
              <w:rPr>
                <w:rFonts w:ascii="Times New Roman" w:cs="Times New Roman" w:eastAsia="Times New Roman" w:hAnsi="Times New Roman"/>
                <w:b w:val="false"/>
                <w:bCs w:val="false"/>
                <w:sz w:val="18"/>
                <w:szCs w:val="18"/>
              </w:rPr>
              <w:t xml:space="preserve"> = 87.1%</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−989</w:t>
            </w:r>
          </w:p>
        </w:tc>
      </w:tr>
      <w:tr>
        <w:trPr>
          <w:cantSplit/>
        </w:trPr>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Single product factor 0.145 ktoe/kbbl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Exceeds crude factor</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Product-specific factors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+2,430</w:t>
            </w:r>
          </w:p>
        </w:tc>
      </w:tr>
      <w:tr>
        <w:trPr>
          <w:cantSplit/>
        </w:trPr>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Jet fuel counted as domestic transport</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IRES bunker convention</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International share to aviation bunkers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−723</w:t>
            </w:r>
          </w:p>
        </w:tc>
      </w:tr>
      <w:tr>
        <w:trPr>
          <w:cantSplit/>
        </w:trPr>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Refinery η = 1.52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T2: physically impossible; H0 rejected</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Crude intake reconciled to output (H1/H2)</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+10,537</w:t>
            </w:r>
          </w:p>
        </w:tc>
      </w:tr>
      <w:tr>
        <w:trPr>
          <w:cantSplit/>
        </w:trPr>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Power-plant fleet η = 28.6%</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T2: below CCGT fleet range</w:t>
            </w:r>
          </w:p>
        </w:tc>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Desalination and unattributed fuel separated</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 (allocation only)</w:t>
            </w:r>
          </w:p>
        </w:tc>
      </w:tr>
      <w:tr>
        <w:trPr>
          <w:cantSplit/>
        </w:trPr>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Unallocated petroleum residual (21.7% of TFC)</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Product composition</w:t>
            </w:r>
          </w:p>
        </w:tc>
        <w:tc>
          <w:tcPr>
            <w:tcW w:type="dxa" w:w="2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Product-based allocation incl. non-energy use</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 (allocation only)</w:t>
            </w:r>
          </w:p>
        </w:tc>
      </w:tr>
    </w:tbl>
    <w:p>
      <w:pPr>
        <w:spacing w:after="240" w:before="60" w:line="240"/>
      </w:pPr>
      <w:r>
        <w:rPr>
          <w:rFonts w:ascii="Times New Roman" w:cs="Times New Roman" w:eastAsia="Times New Roman" w:hAnsi="Times New Roman"/>
          <w:sz w:val="18"/>
          <w:szCs w:val="18"/>
        </w:rPr>
        <w:t xml:space="preserve"> </w:t>
      </w:r>
    </w:p>
    <w:p>
      <w:pPr>
        <w:pStyle w:val="Heading2"/>
        <w:keepNext/>
        <w:spacing w:after="0" w:before="120" w:line="480"/>
      </w:pPr>
      <w:r>
        <w:rPr>
          <w:rFonts w:ascii="Times New Roman" w:cs="Times New Roman" w:eastAsia="Times New Roman" w:hAnsi="Times New Roman"/>
          <w:b/>
          <w:bCs/>
          <w:i w:val="false"/>
          <w:iCs w:val="false"/>
          <w:sz w:val="24"/>
          <w:szCs w:val="24"/>
        </w:rPr>
        <w:t xml:space="preserve">3.3. Supply: oil, gas and coal</w:t>
      </w:r>
    </w:p>
    <w:p>
      <w:pPr>
        <w:spacing w:after="0" w:before="0" w:line="480"/>
        <w:ind w:firstLine="360"/>
        <w:jc w:val="both"/>
      </w:pPr>
      <w:r>
        <w:t xml:space="preserve">Table 7 compares headline indicators before and after reconciliation. The SSR is 235% under H1 (90% CI 228–243%) and 262% under H2, against 252.8% in the as-compiled data. Under every hypothesis Oman produces more than twice its primary energy requirement.</w:t>
      </w:r>
    </w:p>
    <w:p>
      <w:pPr>
        <w:keepNext/>
        <w:spacing w:after="80" w:before="240" w:line="276"/>
      </w:pPr>
      <w:r>
        <w:rPr>
          <w:rFonts w:ascii="Times New Roman" w:cs="Times New Roman" w:eastAsia="Times New Roman" w:hAnsi="Times New Roman"/>
          <w:b/>
          <w:bCs/>
          <w:sz w:val="20"/>
          <w:szCs w:val="20"/>
        </w:rPr>
        <w:t xml:space="preserve">Table 7. </w:t>
      </w:r>
      <w:r>
        <w:rPr>
          <w:rFonts w:ascii="Times New Roman" w:cs="Times New Roman" w:eastAsia="Times New Roman" w:hAnsi="Times New Roman"/>
          <w:sz w:val="20"/>
          <w:szCs w:val="20"/>
        </w:rPr>
        <w:t xml:space="preserve">Headline indicators,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2300"/>
        <w:gridCol w:w="2360"/>
      </w:tblGrid>
      <w:tr>
        <w:trPr>
          <w:tblHeader/>
        </w:trPr>
        <w:tc>
          <w:tcPr>
            <w:tcW w:type="dxa" w:w="30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Indicator</w:t>
            </w:r>
          </w:p>
        </w:tc>
        <w:tc>
          <w:tcPr>
            <w:tcW w:type="dxa" w:w="17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As compiled</w:t>
            </w:r>
          </w:p>
        </w:tc>
        <w:tc>
          <w:tcPr>
            <w:tcW w:type="dxa" w:w="23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Reconciled, H1 (90% CI)</w:t>
            </w:r>
          </w:p>
        </w:tc>
        <w:tc>
          <w:tcPr>
            <w:tcW w:type="dxa" w:w="23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Reconciled, H2</w:t>
            </w:r>
          </w:p>
        </w:tc>
      </w:tr>
      <w:tr>
        <w:trPr>
          <w:cantSplit/>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Indigenous production (ktoe)</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105,585.5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91,492 (89,884–93,096)</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102,029</w:t>
            </w:r>
          </w:p>
        </w:tc>
      </w:tr>
      <w:tr>
        <w:trPr>
          <w:cantSplit/>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TPES (ktoe)</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41,761.7</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38,923 (37,101–40,669)</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38,923</w:t>
            </w:r>
          </w:p>
        </w:tc>
      </w:tr>
      <w:tr>
        <w:trPr>
          <w:cantSplit/>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TFC (ktoe)</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25,481.7</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23,280 (22,850–23,630)</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23,280</w:t>
            </w:r>
          </w:p>
        </w:tc>
      </w:tr>
      <w:tr>
        <w:trPr>
          <w:cantSplit/>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Self-sufficiency ratio (%)</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252.8</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235.1 (228.3–242.9)</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262.1</w:t>
            </w:r>
          </w:p>
        </w:tc>
      </w:tr>
      <w:tr>
        <w:trPr>
          <w:cantSplit/>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Energy intensity (toe per RO million)</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1,040.7</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969.9 (925–1,013)</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969.9</w:t>
            </w:r>
          </w:p>
        </w:tc>
      </w:tr>
      <w:tr>
        <w:trPr>
          <w:cantSplit/>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Per-capita TPES (kgoe)</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7,792.0</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7,262</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7,262</w:t>
            </w:r>
          </w:p>
        </w:tc>
      </w:tr>
      <w:tr>
        <w:trPr>
          <w:cantSplit/>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Renewable share of TPES (%)</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0.93</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w:t>
            </w:r>
          </w:p>
        </w:tc>
      </w:tr>
      <w:tr>
        <w:trPr>
          <w:cantSplit/>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Fuel-combustion CO₂ (Mt)</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91.48</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88.1 (83.4–92.6)</w:t>
            </w:r>
          </w:p>
        </w:tc>
        <w:tc>
          <w:tcPr>
            <w:tcW w:type="dxa" w:w="23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88.1</w:t>
            </w:r>
          </w:p>
        </w:tc>
      </w:tr>
    </w:tbl>
    <w:p>
      <w:pPr>
        <w:spacing w:after="240" w:before="60" w:line="240"/>
      </w:pPr>
      <w:r>
        <w:rPr>
          <w:rFonts w:ascii="Times New Roman" w:cs="Times New Roman" w:eastAsia="Times New Roman" w:hAnsi="Times New Roman"/>
          <w:sz w:val="18"/>
          <w:szCs w:val="18"/>
        </w:rPr>
        <w:t xml:space="preserve"> </w:t>
      </w:r>
    </w:p>
    <w:p>
      <w:pPr>
        <w:keepNext/>
        <w:spacing w:before="240"/>
        <w:jc w:val="center"/>
      </w:pPr>
      <w:r>
        <w:drawing>
          <wp:inline distT="0" distB="0" distL="0" distR="0">
            <wp:extent cx="5810250" cy="2247900"/>
            <wp:effectExtent t="0" r="0" b="0" l="0"/>
            <wp:docPr id="1" name="fig4" descr="Supply, 2025. (a) Indigenous production, with reinjected gas excluded. (b) TPES by commodity; negative values denote net exports and bunkers. (c) Uses of TPES."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247900"/>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Supply, 2025. (a) Indigenous production, with reinjected gas excluded. (b) TPES by commodity; negative values denote net exports and bunkers. (c) Uses of TPES.</w:t>
      </w:r>
    </w:p>
    <w:p>
      <w:pPr>
        <w:spacing w:after="0" w:before="0" w:line="480"/>
        <w:ind w:firstLine="360"/>
        <w:jc w:val="both"/>
      </w:pPr>
      <w:r>
        <w:t xml:space="preserve">Crude production averaged 1,002 kbbl/d (Fig. 5a). Recorded exports of 41,883 ktoe fall to 31,345 ktoe after reconciliation. The product-resolved slate has an energy content of 14,561 ktoe and is dominated by diesel (33%) and naphtha and other products (23%) (Fig. 5b). Of gross gas production, 29.7% is liquefied, 27.2% is delivered to power-and-water plants, 19.6% is reinjected, 3.5% is burnt in upstream operations and 20.1% is used by industry (Fig. 6a). Liquefaction operates at 87.1% efficiency (Fig. 6b). Coal and lignite imports, used mainly by cement plants, contribute 168.7 ktoe.</w:t>
      </w:r>
    </w:p>
    <w:p>
      <w:pPr>
        <w:keepNext/>
        <w:spacing w:before="240"/>
        <w:jc w:val="center"/>
      </w:pPr>
      <w:r>
        <w:drawing>
          <wp:inline distT="0" distB="0" distL="0" distR="0">
            <wp:extent cx="5810250" cy="2305050"/>
            <wp:effectExtent t="0" r="0" b="0" l="0"/>
            <wp:docPr id="1" name="fig5" descr="Oil account, 2025. (a) Crude oil supply and refinery throughput, recorded and reconciled (ktoe). (b) Product-resolved refinery output by energy content, with product-specific factors (ktoe/kbbl)."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305050"/>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5. </w:t>
      </w:r>
      <w:r>
        <w:rPr>
          <w:rFonts w:ascii="Times New Roman" w:cs="Times New Roman" w:eastAsia="Times New Roman" w:hAnsi="Times New Roman"/>
          <w:sz w:val="20"/>
          <w:szCs w:val="20"/>
        </w:rPr>
        <w:t xml:space="preserve">Oil account, 2025. (a) Crude oil supply and refinery throughput, recorded and reconciled (ktoe). (b) Product-resolved refinery output by energy content, with product-specific factors (ktoe/kbbl).</w:t>
      </w:r>
    </w:p>
    <w:p>
      <w:pPr>
        <w:keepNext/>
        <w:spacing w:before="240"/>
        <w:jc w:val="center"/>
      </w:pPr>
      <w:r>
        <w:drawing>
          <wp:inline distT="0" distB="0" distL="0" distR="0">
            <wp:extent cx="5810250" cy="2305050"/>
            <wp:effectExtent t="0" r="0" b="0" l="0"/>
            <wp:docPr id="1" name="fig6" descr="Natural gas, 2025. (a) Gross production by use; the hatched segment is power-and-water plant fuel not attributable to grid electricity. (b) LNG liquefaction balance."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305050"/>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6. </w:t>
      </w:r>
      <w:r>
        <w:rPr>
          <w:rFonts w:ascii="Times New Roman" w:cs="Times New Roman" w:eastAsia="Times New Roman" w:hAnsi="Times New Roman"/>
          <w:sz w:val="20"/>
          <w:szCs w:val="20"/>
        </w:rPr>
        <w:t xml:space="preserve">Natural gas, 2025. (a) Gross production by use; the hatched segment is power-and-water plant fuel not attributable to grid electricity. (b) LNG liquefaction balance.</w:t>
      </w:r>
    </w:p>
    <w:p>
      <w:pPr>
        <w:pStyle w:val="Heading2"/>
        <w:keepNext/>
        <w:spacing w:after="0" w:before="120" w:line="480"/>
      </w:pPr>
      <w:r>
        <w:rPr>
          <w:rFonts w:ascii="Times New Roman" w:cs="Times New Roman" w:eastAsia="Times New Roman" w:hAnsi="Times New Roman"/>
          <w:b/>
          <w:bCs/>
          <w:i w:val="false"/>
          <w:iCs w:val="false"/>
          <w:sz w:val="24"/>
          <w:szCs w:val="24"/>
        </w:rPr>
        <w:t xml:space="preserve">3.4. Final consumption</w:t>
      </w:r>
    </w:p>
    <w:p>
      <w:pPr>
        <w:spacing w:after="0" w:before="0" w:line="480"/>
        <w:ind w:firstLine="360"/>
        <w:jc w:val="both"/>
      </w:pPr>
      <w:r>
        <w:t xml:space="preserve">Table 8 and Fig. 7 present TFC by sector and carrier. Industry is the largest final consumer (12,428 ktoe; 53.4%), and natural gas meets 83% of its demand. Transport accounts for 19.6% and non-energy use for 10.7%, while residential, commercial and government buildings together account for 15.7%. The product-based allocation replaces the previous unallocated residual of 21.7% of TFC. Its largest remaining uncertainty is the split between non-energy and energy use of naphtha (90% CI for non-energy use: 1,927–3,054 ktoe). Because refinery output and product exports are both observed, TFC is not affected by the crude reconciliation; its 90% interval is 22,850–23,630 ktoe.</w:t>
      </w:r>
    </w:p>
    <w:p>
      <w:pPr>
        <w:keepNext/>
        <w:spacing w:after="80" w:before="240" w:line="276"/>
      </w:pPr>
      <w:r>
        <w:rPr>
          <w:rFonts w:ascii="Times New Roman" w:cs="Times New Roman" w:eastAsia="Times New Roman" w:hAnsi="Times New Roman"/>
          <w:b/>
          <w:bCs/>
          <w:sz w:val="20"/>
          <w:szCs w:val="20"/>
        </w:rPr>
        <w:t xml:space="preserve">Table 8. </w:t>
      </w:r>
      <w:r>
        <w:rPr>
          <w:rFonts w:ascii="Times New Roman" w:cs="Times New Roman" w:eastAsia="Times New Roman" w:hAnsi="Times New Roman"/>
          <w:sz w:val="20"/>
          <w:szCs w:val="20"/>
        </w:rPr>
        <w:t xml:space="preserve">Total Final Consumption by sector and carrier, 2025 (ktoe).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300"/>
        <w:gridCol w:w="1150"/>
        <w:gridCol w:w="1100"/>
        <w:gridCol w:w="1250"/>
        <w:gridCol w:w="1200"/>
      </w:tblGrid>
      <w:tr>
        <w:trPr>
          <w:tblHeader/>
        </w:trPr>
        <w:tc>
          <w:tcPr>
            <w:tcW w:type="dxa" w:w="21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Sector</w:t>
            </w:r>
          </w:p>
        </w:tc>
        <w:tc>
          <w:tcPr>
            <w:tcW w:type="dxa" w:w="12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Gas</w:t>
            </w:r>
          </w:p>
        </w:tc>
        <w:tc>
          <w:tcPr>
            <w:tcW w:type="dxa" w:w="13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Petroleum</w:t>
            </w:r>
          </w:p>
        </w:tc>
        <w:tc>
          <w:tcPr>
            <w:tcW w:type="dxa" w:w="115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Electricity</w:t>
            </w:r>
          </w:p>
        </w:tc>
        <w:tc>
          <w:tcPr>
            <w:tcW w:type="dxa" w:w="11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Coal</w:t>
            </w:r>
          </w:p>
        </w:tc>
        <w:tc>
          <w:tcPr>
            <w:tcW w:type="dxa" w:w="125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Total</w:t>
            </w:r>
          </w:p>
        </w:tc>
        <w:tc>
          <w:tcPr>
            <w:tcW w:type="dxa" w:w="12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Share (%)</w:t>
            </w:r>
          </w:p>
        </w:tc>
      </w:tr>
      <w:tr>
        <w:trPr>
          <w:cantSplit/>
        </w:trPr>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Industrial</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10,331</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1,229</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700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169</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12,428</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53.4</w:t>
            </w:r>
          </w:p>
        </w:tc>
      </w:tr>
      <w:tr>
        <w:trPr>
          <w:cantSplit/>
        </w:trPr>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Transport</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4,555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4,555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19.6</w:t>
            </w:r>
          </w:p>
        </w:tc>
      </w:tr>
      <w:tr>
        <w:trPr>
          <w:cantSplit/>
        </w:trPr>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Non-energy use</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2,496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2,496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10.7</w:t>
            </w:r>
          </w:p>
        </w:tc>
      </w:tr>
      <w:tr>
        <w:trPr>
          <w:cantSplit/>
        </w:trPr>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Residential</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628</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1,602</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2,229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9.6</w:t>
            </w:r>
          </w:p>
        </w:tc>
      </w:tr>
      <w:tr>
        <w:trPr>
          <w:cantSplit/>
        </w:trPr>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Commercial</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1,046</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1,046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4.5</w:t>
            </w:r>
          </w:p>
        </w:tc>
      </w:tr>
      <w:tr>
        <w:trPr>
          <w:cantSplit/>
        </w:trPr>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Government</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390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390</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r>
      <w:tr>
        <w:trPr>
          <w:cantSplit/>
        </w:trPr>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Agriculture &amp; other</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135</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w:t>
            </w:r>
          </w:p>
        </w:tc>
      </w:tr>
      <w:tr>
        <w:trPr>
          <w:cantSplit/>
        </w:trPr>
        <w:tc>
          <w:tcPr>
            <w:tcW w:type="dxa" w:w="2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Total</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10,331</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8,907</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3,873</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169</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23,280</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100.0</w:t>
            </w:r>
          </w:p>
        </w:tc>
      </w:tr>
    </w:tbl>
    <w:p>
      <w:pPr>
        <w:spacing w:after="240" w:before="60" w:line="240"/>
      </w:pPr>
      <w:r>
        <w:rPr>
          <w:rFonts w:ascii="Times New Roman" w:cs="Times New Roman" w:eastAsia="Times New Roman" w:hAnsi="Times New Roman"/>
          <w:sz w:val="18"/>
          <w:szCs w:val="18"/>
        </w:rPr>
        <w:t xml:space="preserve"> </w:t>
      </w:r>
    </w:p>
    <w:p>
      <w:pPr>
        <w:keepNext/>
        <w:spacing w:before="240"/>
        <w:jc w:val="center"/>
      </w:pPr>
      <w:r>
        <w:drawing>
          <wp:inline distT="0" distB="0" distL="0" distR="0">
            <wp:extent cx="5810250" cy="4191000"/>
            <wp:effectExtent t="0" r="0" b="0" l="0"/>
            <wp:docPr id="1" name="fig7" descr="Final consumption, 2025. (a) TFC by sector and carrier. (b) Electricity consumption by sector. (c) Allocation of domestic petroleum products, including aviation bunker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4191000"/>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7. </w:t>
      </w:r>
      <w:r>
        <w:rPr>
          <w:rFonts w:ascii="Times New Roman" w:cs="Times New Roman" w:eastAsia="Times New Roman" w:hAnsi="Times New Roman"/>
          <w:sz w:val="20"/>
          <w:szCs w:val="20"/>
        </w:rPr>
        <w:t xml:space="preserve">Final consumption, 2025. (a) TFC by sector and carrier. (b) Electricity consumption by sector. (c) Allocation of domestic petroleum products, including aviation bunkers.</w:t>
      </w:r>
    </w:p>
    <w:p>
      <w:pPr>
        <w:spacing w:after="0" w:before="0" w:line="480"/>
        <w:ind w:firstLine="360"/>
        <w:jc w:val="both"/>
      </w:pPr>
      <w:r>
        <w:t xml:space="preserve">Electricity shows a different structure. Of the 45,033 GWh consumed, households use 41.4%, commercial users 27.0%, industry 18.1% and government 10.1% (Fig. 7b). Renewable generation reached 4,509 GWh, or 8.85% of generation, up from 4.89% in 2024 (Fig. 8). Three photovoltaic plants supplied 97.2% of this output. Preliminary international data for 2025 report only 4.5% because they carry forward the 2024 solar output; the plant-level data used here capture the commissioning of new capacity. Reaching the OPWP target of 30% by 2030 requires a gain of 4.2 percentage points a year, whereas the national 20% target assessed by the IEA (2023b) requires 2.2 points a year.</w:t>
      </w:r>
    </w:p>
    <w:p>
      <w:pPr>
        <w:keepNext/>
        <w:spacing w:before="240"/>
        <w:jc w:val="center"/>
      </w:pPr>
      <w:r>
        <w:drawing>
          <wp:inline distT="0" distB="0" distL="0" distR="0">
            <wp:extent cx="5810250" cy="2238375"/>
            <wp:effectExtent t="0" r="0" b="0" l="0"/>
            <wp:docPr id="1" name="fig8" descr="Electricity, 2025. (a) Electricity balance. (b) Renewable generation by plant. (c) Renewable share of generation, 2015–2025, with the 2030 targets."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238375"/>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8. </w:t>
      </w:r>
      <w:r>
        <w:rPr>
          <w:rFonts w:ascii="Times New Roman" w:cs="Times New Roman" w:eastAsia="Times New Roman" w:hAnsi="Times New Roman"/>
          <w:sz w:val="20"/>
          <w:szCs w:val="20"/>
        </w:rPr>
        <w:t xml:space="preserve">Electricity, 2025. (a) Electricity balance. (b) Renewable generation by plant. (c) Renewable share of generation, 2015–2025, with the 2030 targets.</w:t>
      </w:r>
    </w:p>
    <w:p>
      <w:pPr>
        <w:pStyle w:val="Heading2"/>
        <w:keepNext/>
        <w:spacing w:after="0" w:before="120" w:line="480"/>
      </w:pPr>
      <w:r>
        <w:rPr>
          <w:rFonts w:ascii="Times New Roman" w:cs="Times New Roman" w:eastAsia="Times New Roman" w:hAnsi="Times New Roman"/>
          <w:b/>
          <w:bCs/>
          <w:i w:val="false"/>
          <w:iCs w:val="false"/>
          <w:sz w:val="24"/>
          <w:szCs w:val="24"/>
        </w:rPr>
        <w:t xml:space="preserve">3.5. CO₂ emissions</w:t>
      </w:r>
    </w:p>
    <w:p>
      <w:pPr>
        <w:spacing w:after="0" w:before="0" w:line="480"/>
        <w:ind w:firstLine="360"/>
        <w:jc w:val="both"/>
      </w:pPr>
      <w:r>
        <w:t xml:space="preserve">Fuel-combustion CO₂ emissions are 88.1 Mt (90% CI 83.4–92.6), or 16.4 t per capita (Table 9; Fig. 9). Energy industries (1.A.1) account for 44.2 Mt. Of this total, 20.9 Mt arises from grid electricity, 12.0 Mt from desalination and unattributed plant fuel, and 11.4 Mt from refining, liquefaction and upstream fuel use, three categories absent from the as-compiled inventory. Manufacturing contributes 28.7 Mt and transport 13.5 Mt. Natural gas accounts for 74% of emissions, and international bunkers add a memo item of 3.6 Mt. Under end-use attribution, buildings account for 18.1 Mt and the energy sector's own operations for 23.4 Mt.</w:t>
      </w:r>
    </w:p>
    <w:p>
      <w:pPr>
        <w:keepNext/>
        <w:spacing w:after="80" w:before="240" w:line="276"/>
      </w:pPr>
      <w:r>
        <w:rPr>
          <w:rFonts w:ascii="Times New Roman" w:cs="Times New Roman" w:eastAsia="Times New Roman" w:hAnsi="Times New Roman"/>
          <w:b/>
          <w:bCs/>
          <w:sz w:val="20"/>
          <w:szCs w:val="20"/>
        </w:rPr>
        <w:t xml:space="preserve">Table 9. </w:t>
      </w:r>
      <w:r>
        <w:rPr>
          <w:rFonts w:ascii="Times New Roman" w:cs="Times New Roman" w:eastAsia="Times New Roman" w:hAnsi="Times New Roman"/>
          <w:sz w:val="20"/>
          <w:szCs w:val="20"/>
        </w:rPr>
        <w:t xml:space="preserve">CO₂ emissions from fuel combustion by IPCC category, 2025, compared with the as-compiled inventory (Mt).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700"/>
        <w:gridCol w:w="1700"/>
        <w:gridCol w:w="2360"/>
      </w:tblGrid>
      <w:tr>
        <w:trPr>
          <w:tblHeader/>
        </w:trPr>
        <w:tc>
          <w:tcPr>
            <w:tcW w:type="dxa" w:w="36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IPCC category</w:t>
            </w:r>
          </w:p>
        </w:tc>
        <w:tc>
          <w:tcPr>
            <w:tcW w:type="dxa" w:w="17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Reconciled</w:t>
            </w:r>
          </w:p>
        </w:tc>
        <w:tc>
          <w:tcPr>
            <w:tcW w:type="dxa" w:w="17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Share (%)</w:t>
            </w:r>
          </w:p>
        </w:tc>
        <w:tc>
          <w:tcPr>
            <w:tcW w:type="dxa" w:w="23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As compiled</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1.A.1.a Electricity (grid)</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20.86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23.7</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32.82*</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1.A.1.a Desalination heat &amp; unattributed</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11.97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13.6</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1.A.1.b Petroleum refining</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3.05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3.5</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1.A.1.c LNG liquefaction</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4.16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4.7</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1.A.1.c Oil &amp; gas extraction</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4.19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4.8</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1.A.2 Manufacturing industries</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28.66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32.5</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27.81</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1.A.3 Transport</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13.52</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15.3</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13.29</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1.A.4 Residential</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1.71</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0.95</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Unallocated petroleum residual</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16.60</w:t>
            </w:r>
          </w:p>
        </w:tc>
      </w:tr>
      <w:tr>
        <w:trPr>
          <w:cantSplit/>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Total</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88.10</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100.0</w:t>
            </w:r>
          </w:p>
        </w:tc>
        <w:tc>
          <w:tcPr>
            <w:tcW w:type="dxa" w:w="23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91.48</w:t>
            </w:r>
          </w:p>
        </w:tc>
      </w:tr>
      <w:tr>
        <w:trPr>
          <w:cantSplit/>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Memo: international bunkers</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23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bl>
    <w:p>
      <w:pPr>
        <w:spacing w:after="240" w:before="60" w:line="240"/>
      </w:pPr>
      <w:r>
        <w:rPr>
          <w:rFonts w:ascii="Times New Roman" w:cs="Times New Roman" w:eastAsia="Times New Roman" w:hAnsi="Times New Roman"/>
          <w:sz w:val="18"/>
          <w:szCs w:val="18"/>
        </w:rPr>
        <w:t xml:space="preserve">*The as-compiled inventory attributed all power-and-water plant gas to electricity.</w:t>
      </w:r>
    </w:p>
    <w:p>
      <w:pPr>
        <w:keepNext/>
        <w:spacing w:before="240"/>
        <w:jc w:val="center"/>
      </w:pPr>
      <w:r>
        <w:drawing>
          <wp:inline distT="0" distB="0" distL="0" distR="0">
            <wp:extent cx="5810250" cy="2486025"/>
            <wp:effectExtent t="0" r="0" b="0" l="0"/>
            <wp:docPr id="1" name="fig9" descr="CO₂ emissions from fuel combustion, 2025. (a) By IPCC category. (b) By fuel. (c) End-use attribution, with grid-electricity emissions allocated by consumption. *Energy sector: upstream, LNG, refining, desalination and unattributed fuel."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486025"/>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9. </w:t>
      </w:r>
      <w:r>
        <w:rPr>
          <w:rFonts w:ascii="Times New Roman" w:cs="Times New Roman" w:eastAsia="Times New Roman" w:hAnsi="Times New Roman"/>
          <w:sz w:val="20"/>
          <w:szCs w:val="20"/>
        </w:rPr>
        <w:t xml:space="preserve">CO₂ emissions from fuel combustion, 2025. (a) By IPCC category. (b) By fuel. (c) End-use attribution, with grid-electricity emissions allocated by consumption. *Energy sector: upstream, LNG, refining, desalination and unattributed fuel.</w:t>
      </w:r>
    </w:p>
    <w:p>
      <w:pPr>
        <w:pStyle w:val="Heading2"/>
        <w:keepNext/>
        <w:spacing w:after="0" w:before="120" w:line="480"/>
      </w:pPr>
      <w:r>
        <w:rPr>
          <w:rFonts w:ascii="Times New Roman" w:cs="Times New Roman" w:eastAsia="Times New Roman" w:hAnsi="Times New Roman"/>
          <w:b/>
          <w:bCs/>
          <w:i w:val="false"/>
          <w:iCs w:val="false"/>
          <w:sz w:val="24"/>
          <w:szCs w:val="24"/>
        </w:rPr>
        <w:t xml:space="preserve">3.6. Emission trends and drivers, 2015–2024</w:t>
      </w:r>
    </w:p>
    <w:p>
      <w:pPr>
        <w:spacing w:after="0" w:before="0" w:line="480"/>
        <w:ind w:firstLine="360"/>
        <w:jc w:val="both"/>
      </w:pPr>
      <w:r>
        <w:t xml:space="preserve">CO₂ from fuel combustion and flaring rose from 65.7 Mt in 2015 to 79.8 Mt in 2024 (+14.1 Mt), and the share of gas increased from 73% to 80% (Fig. 10a). The LMDI decomposition (Table 10; Fig. 10b) attributes the increase mainly to population growth (+16.9 Mt) and rising energy intensity of GDP (+11.6 Mt). Falling real GDP per capita (-8.1 Mt) and declining carbon intensity of energy (-6.3 Mt) partly offset these effects. The energy-intensity effect accelerated after 2019 (+8.3 Mt in 2019–2024, against +3.2 Mt in 2015–2019), coinciding with the expansion of gas-intensive industry and the commissioning of the Duqm refinery. Carbon intensity fell mainly through oil-to-gas substitution and, from 2021, through solar generation. These results reject absolute decoupling: emissions grew while real GDP per capita fell, the opposite of the trajectory implied by the EKC (Stern, 2004).</w:t>
      </w:r>
    </w:p>
    <w:p>
      <w:pPr>
        <w:keepNext/>
        <w:spacing w:after="80" w:before="240" w:line="276"/>
      </w:pPr>
      <w:r>
        <w:rPr>
          <w:rFonts w:ascii="Times New Roman" w:cs="Times New Roman" w:eastAsia="Times New Roman" w:hAnsi="Times New Roman"/>
          <w:b/>
          <w:bCs/>
          <w:sz w:val="20"/>
          <w:szCs w:val="20"/>
        </w:rPr>
        <w:t xml:space="preserve">Table 10. </w:t>
      </w:r>
      <w:r>
        <w:rPr>
          <w:rFonts w:ascii="Times New Roman" w:cs="Times New Roman" w:eastAsia="Times New Roman" w:hAnsi="Times New Roman"/>
          <w:sz w:val="20"/>
          <w:szCs w:val="20"/>
        </w:rPr>
        <w:t xml:space="preserve">LMDI decomposition of the change in CO₂ emissions from fuel combustion and flaring (Mt).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tblHeader/>
        </w:trPr>
        <w:tc>
          <w:tcPr>
            <w:tcW w:type="dxa" w:w="21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Period</w:t>
            </w:r>
          </w:p>
        </w:tc>
        <w:tc>
          <w:tcPr>
            <w:tcW w:type="dxa" w:w="144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Population</w:t>
            </w:r>
          </w:p>
        </w:tc>
        <w:tc>
          <w:tcPr>
            <w:tcW w:type="dxa" w:w="144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GDP per capita</w:t>
            </w:r>
          </w:p>
        </w:tc>
        <w:tc>
          <w:tcPr>
            <w:tcW w:type="dxa" w:w="144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Energy intensity</w:t>
            </w:r>
          </w:p>
        </w:tc>
        <w:tc>
          <w:tcPr>
            <w:tcW w:type="dxa" w:w="144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Carbon intensity</w:t>
            </w:r>
          </w:p>
        </w:tc>
        <w:tc>
          <w:tcPr>
            <w:tcW w:type="dxa" w:w="144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Total</w:t>
            </w:r>
          </w:p>
        </w:tc>
      </w:tr>
      <w:tr>
        <w:trPr>
          <w:cantSplit/>
        </w:trPr>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2015-2019</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6.28</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-2.64</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3.23</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-2.80</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4.06</w:t>
            </w:r>
          </w:p>
        </w:tc>
      </w:tr>
      <w:tr>
        <w:trPr>
          <w:cantSplit/>
        </w:trPr>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2019-2024</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10.46</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-5.38</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8.33</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-3.39</w:t>
            </w:r>
          </w:p>
        </w:tc>
        <w:tc>
          <w:tcPr>
            <w:tcW w:type="dxa" w:w="14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10.03</w:t>
            </w:r>
          </w:p>
        </w:tc>
      </w:tr>
      <w:tr>
        <w:trPr>
          <w:cantSplit/>
        </w:trPr>
        <w:tc>
          <w:tcPr>
            <w:tcW w:type="dxa" w:w="2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2015-2024</w:t>
            </w:r>
          </w:p>
        </w:tc>
        <w:tc>
          <w:tcPr>
            <w:tcW w:type="dxa" w:w="14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16.89</w:t>
            </w:r>
          </w:p>
        </w:tc>
        <w:tc>
          <w:tcPr>
            <w:tcW w:type="dxa" w:w="14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-8.05</w:t>
            </w:r>
          </w:p>
        </w:tc>
        <w:tc>
          <w:tcPr>
            <w:tcW w:type="dxa" w:w="14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11.55</w:t>
            </w:r>
          </w:p>
        </w:tc>
        <w:tc>
          <w:tcPr>
            <w:tcW w:type="dxa" w:w="14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-6.29</w:t>
            </w:r>
          </w:p>
        </w:tc>
        <w:tc>
          <w:tcPr>
            <w:tcW w:type="dxa" w:w="14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14.09</w:t>
            </w:r>
          </w:p>
        </w:tc>
      </w:tr>
    </w:tbl>
    <w:p>
      <w:pPr>
        <w:spacing w:after="240" w:before="60" w:line="240"/>
      </w:pPr>
      <w:r>
        <w:rPr>
          <w:rFonts w:ascii="Times New Roman" w:cs="Times New Roman" w:eastAsia="Times New Roman" w:hAnsi="Times New Roman"/>
          <w:sz w:val="18"/>
          <w:szCs w:val="18"/>
        </w:rPr>
        <w:t xml:space="preserve"> </w:t>
      </w:r>
    </w:p>
    <w:p>
      <w:pPr>
        <w:spacing w:after="0" w:before="0" w:line="480"/>
        <w:ind w:firstLine="360"/>
        <w:jc w:val="both"/>
      </w:pPr>
      <w:r>
        <w:t xml:space="preserve">The reconciled 2025 inventory (88.1 Mt, excluding flaring) lies above the 2024 series value (76.0 Mt excluding flaring). The difference reflects scope and data rather than a one-year jump: it arises from the higher petroleum emissions implied by national retail data and from upstream, liquefaction and refinery fuel that the aggregate international series may not fully capture.</w:t>
      </w:r>
    </w:p>
    <w:p>
      <w:pPr>
        <w:keepNext/>
        <w:spacing w:before="240"/>
        <w:jc w:val="center"/>
      </w:pPr>
      <w:r>
        <w:drawing>
          <wp:inline distT="0" distB="0" distL="0" distR="0">
            <wp:extent cx="5810250" cy="2390775"/>
            <wp:effectExtent t="0" r="0" b="0" l="0"/>
            <wp:docPr id="1" name="fig10" descr="Emission trends. (a) CO₂ from fuel combustion and flaring by fuel, 2015–2024 (Global Carbon Project), and the reconciled 2025 inventory with its 90% interval. (b) LMDI decomposition of the change in CO₂."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390775"/>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10. </w:t>
      </w:r>
      <w:r>
        <w:rPr>
          <w:rFonts w:ascii="Times New Roman" w:cs="Times New Roman" w:eastAsia="Times New Roman" w:hAnsi="Times New Roman"/>
          <w:sz w:val="20"/>
          <w:szCs w:val="20"/>
        </w:rPr>
        <w:t xml:space="preserve">Emission trends. (a) CO₂ from fuel combustion and flaring by fuel, 2015–2024 (Global Carbon Project), and the reconciled 2025 inventory with its 90% interval. (b) LMDI decomposition of the change in CO₂.</w:t>
      </w:r>
    </w:p>
    <w:p>
      <w:pPr>
        <w:pStyle w:val="Heading2"/>
        <w:keepNext/>
        <w:spacing w:after="0" w:before="120" w:line="480"/>
      </w:pPr>
      <w:r>
        <w:rPr>
          <w:rFonts w:ascii="Times New Roman" w:cs="Times New Roman" w:eastAsia="Times New Roman" w:hAnsi="Times New Roman"/>
          <w:b/>
          <w:bCs/>
          <w:i w:val="false"/>
          <w:iCs w:val="false"/>
          <w:sz w:val="24"/>
          <w:szCs w:val="24"/>
        </w:rPr>
        <w:t xml:space="preserve">3.7. Uncertainty</w:t>
      </w:r>
    </w:p>
    <w:p>
      <w:pPr>
        <w:spacing w:after="0" w:before="0" w:line="480"/>
        <w:ind w:firstLine="360"/>
        <w:jc w:val="both"/>
      </w:pPr>
      <w:r>
        <w:t xml:space="preserve">Fig. 11 summarises the Monte Carlo results. The 90% intervals are 37,101–40,669 ktoe for TPES (±4.6%), 228–243% for the SSR and 83.4–92.6 Mt for CO₂. The combusted share of oil-field gas dominates the uncertainty in both the SSR (ρ = -0.81) and CO₂ (ρ = +0.85), followed by refinery efficiency and the non-energy share of naphtha. Metered data on reinjection and refinery intake would therefore reduce the remaining uncertainty more than any other improvement.</w:t>
      </w:r>
    </w:p>
    <w:p>
      <w:pPr>
        <w:keepNext/>
        <w:spacing w:before="240"/>
        <w:jc w:val="center"/>
      </w:pPr>
      <w:r>
        <w:drawing>
          <wp:inline distT="0" distB="0" distL="0" distR="0">
            <wp:extent cx="5810250" cy="3419475"/>
            <wp:effectExtent t="0" r="0" b="0" l="0"/>
            <wp:docPr id="1" name="fig11" descr="Monte Carlo uncertainty (10,000 draws). (a–c) Distributions of TPES, the self-sufficiency ratio and CO₂ emissions; solid lines mark the central estimate and dotted lines the 90% interval. (d–e) Spearman rank correlations between parameters and outputs."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3419475"/>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11. </w:t>
      </w:r>
      <w:r>
        <w:rPr>
          <w:rFonts w:ascii="Times New Roman" w:cs="Times New Roman" w:eastAsia="Times New Roman" w:hAnsi="Times New Roman"/>
          <w:sz w:val="20"/>
          <w:szCs w:val="20"/>
        </w:rPr>
        <w:t xml:space="preserve">Monte Carlo uncertainty (10,000 draws). (a–c) Distributions of TPES, the self-sufficiency ratio and CO₂ emissions; solid lines mark the central estimate and dotted lines the 90% interval. (d–e) Spearman rank correlations between parameters and outputs.</w:t>
      </w:r>
    </w:p>
    <w:p>
      <w:pPr>
        <w:pStyle w:val="Heading1"/>
        <w:keepNext/>
        <w:spacing w:after="0" w:before="240" w:line="480"/>
      </w:pPr>
      <w:r>
        <w:rPr>
          <w:rFonts w:ascii="Times New Roman" w:cs="Times New Roman" w:eastAsia="Times New Roman" w:hAnsi="Times New Roman"/>
          <w:b/>
          <w:bCs/>
          <w:i w:val="false"/>
          <w:iCs w:val="false"/>
          <w:sz w:val="26"/>
          <w:szCs w:val="26"/>
        </w:rPr>
        <w:t xml:space="preserve">4. Discussion: the political economy of Oman's transition</w:t>
      </w:r>
    </w:p>
    <w:p>
      <w:pPr>
        <w:pStyle w:val="Heading2"/>
        <w:keepNext/>
        <w:spacing w:after="0" w:before="120" w:line="480"/>
      </w:pPr>
      <w:r>
        <w:rPr>
          <w:rFonts w:ascii="Times New Roman" w:cs="Times New Roman" w:eastAsia="Times New Roman" w:hAnsi="Times New Roman"/>
          <w:b/>
          <w:bCs/>
          <w:i w:val="false"/>
          <w:iCs w:val="false"/>
          <w:sz w:val="24"/>
          <w:szCs w:val="24"/>
        </w:rPr>
        <w:t xml:space="preserve">4.1. Rent incidence in a gas-based rentier economy</w:t>
      </w:r>
    </w:p>
    <w:p>
      <w:pPr>
        <w:spacing w:after="0" w:before="0" w:line="480"/>
        <w:ind w:firstLine="360"/>
        <w:jc w:val="both"/>
      </w:pPr>
      <w:r>
        <w:t xml:space="preserve">Rentier theory predicts that the state distributes resource rents to sustain political allegiance. In energy-exporting economies much of this distribution occurs off-budget, through energy sold below its opportunity cost (Beblawi and Luciani, 1987; Krane, 2019). The reconciled accounts allow this transfer to be measured. At an LNG price of USD 10/MMBtu, net of liquefaction losses and costs, domestic gas combustion in 2025 carried an implicit rent of USD 4.9 billion, or 4.7% of GDP (90% CI 1.4–8.0%). Power-and-water plants received USD 2.6 billion, industry 1.9 billion and upstream operations 0.3 billion (Fig. 12a). By comparison, the explicit electricity subsidy in the 2025 budget is RO 520 million, or USD 1.35 billion (Gulf News, 2025). The implicit gas rent is thus several times larger than the visible subsidy, and most of it reaches consumers through electricity tariffs and industrial gas prices. This helps explain why tariff and gas-price reform is politically sensitive. It is also consistent with the argument of Al-Sarihi and Cherni (2023) that renewable deployment has been embraced selectively, in forms that leave these distributional channels intact.</w:t>
      </w:r>
    </w:p>
    <w:p>
      <w:pPr>
        <w:keepNext/>
        <w:spacing w:before="240"/>
        <w:jc w:val="center"/>
      </w:pPr>
      <w:r>
        <w:drawing>
          <wp:inline distT="0" distB="0" distL="0" distR="0">
            <wp:extent cx="5810250" cy="2381250"/>
            <wp:effectExtent t="0" r="0" b="0" l="0"/>
            <wp:docPr id="1" name="fig12" descr="Political economy and scale. (a) Implicit gas rent transferred to domestic users in 2025 at three LNG prices, compared with the explicit electricity subsidy. (b) Additional VRE capacity required for a 30% renewable share by 2030, by demand growth and capacity factor, compared with the capacity required for the 2030 hydrogen target." title="Fi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2381250"/>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12. </w:t>
      </w:r>
      <w:r>
        <w:rPr>
          <w:rFonts w:ascii="Times New Roman" w:cs="Times New Roman" w:eastAsia="Times New Roman" w:hAnsi="Times New Roman"/>
          <w:sz w:val="20"/>
          <w:szCs w:val="20"/>
        </w:rPr>
        <w:t xml:space="preserve">Political economy and scale. (a) Implicit gas rent transferred to domestic users in 2025 at three LNG prices, compared with the explicit electricity subsidy. (b) Additional VRE capacity required for a 30% renewable share by 2030, by demand growth and capacity factor, compared with the capacity required for the 2030 hydrogen target.</w:t>
      </w:r>
    </w:p>
    <w:p>
      <w:pPr>
        <w:pStyle w:val="Heading2"/>
        <w:keepNext/>
        <w:spacing w:after="0" w:before="120" w:line="480"/>
      </w:pPr>
      <w:r>
        <w:rPr>
          <w:rFonts w:ascii="Times New Roman" w:cs="Times New Roman" w:eastAsia="Times New Roman" w:hAnsi="Times New Roman"/>
          <w:b/>
          <w:bCs/>
          <w:i w:val="false"/>
          <w:iCs w:val="false"/>
          <w:sz w:val="24"/>
          <w:szCs w:val="24"/>
        </w:rPr>
        <w:t xml:space="preserve">4.2. The dual dividend of renewables</w:t>
      </w:r>
    </w:p>
    <w:p>
      <w:pPr>
        <w:spacing w:after="0" w:before="0" w:line="480"/>
        <w:ind w:firstLine="360"/>
        <w:jc w:val="both"/>
      </w:pPr>
      <w:r>
        <w:t xml:space="preserve">In 2025 renewables avoided 2.02 MtCO₂ (90% CI 1.76–2.39) and freed 0.96 bcm of gas (Fig. 13a). The 862 ktoe of freed gas preserved an export rent of USD 0.16 billion (0.05–0.28). With 30% renewables and constant generation, avoided emissions would reach 5.6–8.8 Mt and the preserved rent USD 0.14–0.95 billion per year, depending on prices (Fig. 13b). This dual dividend of abatement and rent preservation is specific to exporters; for importers the main benefit of renewables is a lower import bill (Al-Maamary et al., 2017b; Szalai et al., 2025). The dividend aligns climate policy with the fiscal interests of the rentier state, which helps explain why renewables have gained support among incumbents. It has two limitations, however. Gas that is exported or redirected to new domestic industry is still burnt elsewhere, so global emissions fall by less than the territorial saving (Davis et al., 2011; Liu et al., 2026). And the preserved rent can be realised only if liquefaction capacity or other export outlets are available.</w:t>
      </w:r>
    </w:p>
    <w:p>
      <w:pPr>
        <w:keepNext/>
        <w:spacing w:before="240"/>
        <w:jc w:val="center"/>
      </w:pPr>
      <w:r>
        <w:drawing>
          <wp:inline distT="0" distB="0" distL="0" distR="0">
            <wp:extent cx="5810250" cy="2390775"/>
            <wp:effectExtent t="0" r="0" b="0" l="0"/>
            <wp:docPr id="1" name="fig13" descr="The dual dividend. (a) Avoided CO₂ as a function of renewable share for the central and bounding displaced-plant efficiencies, with 2025 generation held constant. (b) Export rent preserved by freed gas as a function of renewable share and LNG price (domestic price USD 3/MMBtu; liquefaction cost USD 1/MMBtu)." title="Fi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390775"/>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13. </w:t>
      </w:r>
      <w:r>
        <w:rPr>
          <w:rFonts w:ascii="Times New Roman" w:cs="Times New Roman" w:eastAsia="Times New Roman" w:hAnsi="Times New Roman"/>
          <w:sz w:val="20"/>
          <w:szCs w:val="20"/>
        </w:rPr>
        <w:t xml:space="preserve">The dual dividend. (a) Avoided CO₂ as a function of renewable share for the central and bounding displaced-plant efficiencies, with 2025 generation held constant. (b) Export rent preserved by freed gas as a function of renewable share and LNG price (domestic price USD 3/MMBtu; liquefaction cost USD 1/MMBtu).</w:t>
      </w:r>
    </w:p>
    <w:p>
      <w:pPr>
        <w:pStyle w:val="Heading2"/>
        <w:keepNext/>
        <w:spacing w:after="0" w:before="120" w:line="480"/>
      </w:pPr>
      <w:r>
        <w:rPr>
          <w:rFonts w:ascii="Times New Roman" w:cs="Times New Roman" w:eastAsia="Times New Roman" w:hAnsi="Times New Roman"/>
          <w:b/>
          <w:bCs/>
          <w:i w:val="false"/>
          <w:iCs w:val="false"/>
          <w:sz w:val="24"/>
          <w:szCs w:val="24"/>
        </w:rPr>
        <w:t xml:space="preserve">4.3. Demand-side management and energy efficiency</w:t>
      </w:r>
    </w:p>
    <w:p>
      <w:pPr>
        <w:spacing w:after="0" w:before="0" w:line="480"/>
        <w:ind w:firstLine="360"/>
        <w:jc w:val="both"/>
      </w:pPr>
      <w:r>
        <w:t xml:space="preserve">The decomposition shows that rising energy intensity added 11.6 Mt of CO₂ between 2015 and 2024, more than the abatement that renewables could deliver at the 30% target. Energy efficiency has historically been under-prioritised in the GCC because administered prices weaken the incentive to conserve (Fattouh and El-Katiri, 2013; Almasri and Narayan, 2021). Partial indicators such as energy per unit of GDP conflate structural change with efficiency (Patterson, 1996). The total-factor energy efficiency (TFEE) framework, which treats energy as one input alongside labour and capital, provides a better benchmark for the industrial gas users identified here (Hu and Wang, 2006; Tanaka, 2008). On the electricity side, buildings consume 78.5% of electricity, largely for cooling. Cost-reflective tariffs with targeted household support, building codes and monitoring of heating, ventilation and air-conditioning are the instruments most directly supported by the evidence. Each additional percentage point of annual demand growth raises the VRE capacity needed for the 30% target by about 0.3 GW (Fig. 12b).</w:t>
      </w:r>
    </w:p>
    <w:p>
      <w:pPr>
        <w:pStyle w:val="Heading2"/>
        <w:keepNext/>
        <w:spacing w:after="0" w:before="120" w:line="480"/>
      </w:pPr>
      <w:r>
        <w:rPr>
          <w:rFonts w:ascii="Times New Roman" w:cs="Times New Roman" w:eastAsia="Times New Roman" w:hAnsi="Times New Roman"/>
          <w:b/>
          <w:bCs/>
          <w:i w:val="false"/>
          <w:iCs w:val="false"/>
          <w:sz w:val="24"/>
          <w:szCs w:val="24"/>
        </w:rPr>
        <w:t xml:space="preserve">4.4. Hydrogen and the scale of the build-out</w:t>
      </w:r>
    </w:p>
    <w:p>
      <w:pPr>
        <w:spacing w:after="0" w:before="0" w:line="480"/>
        <w:ind w:firstLine="360"/>
        <w:jc w:val="both"/>
      </w:pPr>
      <w:r>
        <w:t xml:space="preserve">Hydrom's targets of 1.0–1.25 Mt of hydrogen by 2030, 3.75 Mt by 2040 and 8.5 Mt by 2050 imply a build-out of a different order of magnitude from the grid transition (IEA, 2023b). Assuming about 55 kWh per kg of hydrogen and a hybrid solar–wind capacity factor of 0.40, the 2030 target requires 55–69 TWh of electricity, or 16–20 GW of dedicated capacity. This compares with an implied 2025 VRE fleet of about 1.7 GW and grid additions of 3.5–7 GW for the 30% target (Fig. 12b). Marzouk (2024) shows that planned projects would raise renewables to about 83% of a total of 83 GW, almost entirely because of hydrogen. Wind-to-hydrogen studies confirm that resources are favourable (Ahshan et al., 2022), and the IEA estimates cumulative investment of about USD 33 billion for 1 Mt by 2030 (IEA, 2023b). The reconciled balance supplies the accounting framework needed to verify additionality, that is, to confirm that electricity for electrolysis does not displace grid supply and increase gas burn elsewhere (Amoatey et al., 2025).</w:t>
      </w:r>
    </w:p>
    <w:p>
      <w:pPr>
        <w:pStyle w:val="Heading2"/>
        <w:keepNext/>
        <w:spacing w:after="0" w:before="120" w:line="480"/>
      </w:pPr>
      <w:r>
        <w:rPr>
          <w:rFonts w:ascii="Times New Roman" w:cs="Times New Roman" w:eastAsia="Times New Roman" w:hAnsi="Times New Roman"/>
          <w:b/>
          <w:bCs/>
          <w:i w:val="false"/>
          <w:iCs w:val="false"/>
          <w:sz w:val="24"/>
          <w:szCs w:val="24"/>
        </w:rPr>
        <w:t xml:space="preserve">4.5. Green finance and value-chain localisation</w:t>
      </w:r>
    </w:p>
    <w:p>
      <w:pPr>
        <w:spacing w:after="0" w:before="0" w:line="480"/>
        <w:ind w:firstLine="360"/>
        <w:jc w:val="both"/>
      </w:pPr>
      <w:r>
        <w:t xml:space="preserve">The capital required exceeds what the state budget can supply under volatile oil prices. Mobilising private capital depends on credible taxonomies, disclosure and bankable offtake. Omani green bonds, sukuk and sustainable finance frameworks indicate growing market depth, although overlapping agency mandates raise transaction costs (Ali, 2025). A green taxonomy aligned with established classifications such as the EU taxonomy (European Union, 2020) would reduce greenwashing risk. Value-chain localisation is a complementary hedge: a planned USD 565 million photovoltaic plant in the Sohar Freezone, with 6 GW of cell and 3 GW of module capacity, would place Oman upstream in the solar value chain (pv magazine, 2024; Enterprise AM, 2025). Lithium brines at Umm as Samim and Mahout could anchor a transition-minerals sector (Mishrif and Khan, 2023; IEA, 2021). For such strategies to support decarbonization rather than simply add energy-intensive industry, their energy demand must be tracked in the balance from the outset.</w:t>
      </w:r>
    </w:p>
    <w:p>
      <w:pPr>
        <w:pStyle w:val="Heading2"/>
        <w:keepNext/>
        <w:spacing w:after="0" w:before="120" w:line="480"/>
      </w:pPr>
      <w:r>
        <w:rPr>
          <w:rFonts w:ascii="Times New Roman" w:cs="Times New Roman" w:eastAsia="Times New Roman" w:hAnsi="Times New Roman"/>
          <w:b/>
          <w:bCs/>
          <w:i w:val="false"/>
          <w:iCs w:val="false"/>
          <w:sz w:val="24"/>
          <w:szCs w:val="24"/>
        </w:rPr>
        <w:t xml:space="preserve">4.6. Implications for energy statistics in producer states</w:t>
      </w:r>
    </w:p>
    <w:p>
      <w:pPr>
        <w:spacing w:after="0" w:before="0" w:line="480"/>
        <w:ind w:firstLine="360"/>
        <w:jc w:val="both"/>
      </w:pPr>
      <w:r>
        <w:t xml:space="preserve">The diagnostics generalise beyond Oman. Producer-state balances are dominated by transformation flows in which small definitional errors become large errors in primary supply. In Oman's case, six corrections ranging from 0.7 to 10.5 Mtoe largely offset one another, leaving a net change of 7%, so agreement with international aggregates does not by itself establish the quality of the underlying accounts. Process-efficiency tests (T2) and triangulation of fuel-specific emissions (T3) detect errors that column closure (T1) cannot. We recommend that producer states report refinery intake, reinjection and power-and-water fuel splits as metered quantities, and that international compilers request them explicitly (UNSD, 2018; Kuunifaa et al., 2026).</w:t>
      </w:r>
    </w:p>
    <w:p>
      <w:pPr>
        <w:pStyle w:val="Heading1"/>
        <w:keepNext/>
        <w:spacing w:after="0" w:before="240" w:line="480"/>
      </w:pPr>
      <w:r>
        <w:rPr>
          <w:rFonts w:ascii="Times New Roman" w:cs="Times New Roman" w:eastAsia="Times New Roman" w:hAnsi="Times New Roman"/>
          <w:b/>
          <w:bCs/>
          <w:i w:val="false"/>
          <w:iCs w:val="false"/>
          <w:sz w:val="26"/>
          <w:szCs w:val="26"/>
        </w:rPr>
        <w:t xml:space="preserve">5. Policy implications and limitations</w:t>
      </w:r>
    </w:p>
    <w:p>
      <w:pPr>
        <w:pStyle w:val="Heading2"/>
        <w:keepNext/>
        <w:spacing w:after="0" w:before="120" w:line="480"/>
      </w:pPr>
      <w:r>
        <w:rPr>
          <w:rFonts w:ascii="Times New Roman" w:cs="Times New Roman" w:eastAsia="Times New Roman" w:hAnsi="Times New Roman"/>
          <w:b/>
          <w:bCs/>
          <w:i w:val="false"/>
          <w:iCs w:val="false"/>
          <w:sz w:val="24"/>
          <w:szCs w:val="24"/>
        </w:rPr>
        <w:t xml:space="preserve">5.1. Policy recommendations</w:t>
      </w:r>
    </w:p>
    <w:p>
      <w:pPr>
        <w:spacing w:after="0" w:before="0" w:line="480"/>
        <w:ind w:firstLine="360"/>
        <w:jc w:val="both"/>
      </w:pPr>
      <w:r>
        <w:t xml:space="preserve">Fig. 14 organises the recommendations into supply-side, demand-side and institutional pillars resting on a common evidence layer, and Table 11 links each instrument to the evidence that motivates it.</w:t>
      </w:r>
    </w:p>
    <w:p>
      <w:pPr>
        <w:keepNext/>
        <w:spacing w:before="240"/>
        <w:jc w:val="center"/>
      </w:pPr>
      <w:r>
        <w:drawing>
          <wp:inline distT="0" distB="0" distL="0" distR="0">
            <wp:extent cx="5810250" cy="3609975"/>
            <wp:effectExtent t="0" r="0" b="0" l="0"/>
            <wp:docPr id="1" name="fig14" descr="Policy framework linking the reconciled evidence layer to supply-side, demand-side and institutional instruments and to transition outcomes." title="Fi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3609975"/>
                    </a:xfrm>
                    <a:prstGeom prst="rect">
                      <a:avLst/>
                    </a:prstGeom>
                  </pic:spPr>
                </pic:pic>
              </a:graphicData>
            </a:graphic>
          </wp:inline>
        </w:drawing>
      </w:r>
    </w:p>
    <w:p>
      <w:pPr>
        <w:spacing w:after="240" w:before="80" w:line="276"/>
        <w:jc w:val="both"/>
      </w:pPr>
      <w:r>
        <w:rPr>
          <w:rFonts w:ascii="Times New Roman" w:cs="Times New Roman" w:eastAsia="Times New Roman" w:hAnsi="Times New Roman"/>
          <w:b/>
          <w:bCs/>
          <w:sz w:val="20"/>
          <w:szCs w:val="20"/>
        </w:rPr>
        <w:t xml:space="preserve">Fig. 14. </w:t>
      </w:r>
      <w:r>
        <w:rPr>
          <w:rFonts w:ascii="Times New Roman" w:cs="Times New Roman" w:eastAsia="Times New Roman" w:hAnsi="Times New Roman"/>
          <w:sz w:val="20"/>
          <w:szCs w:val="20"/>
        </w:rPr>
        <w:t xml:space="preserve">Policy framework linking the reconciled evidence layer to supply-side, demand-side and institutional instruments and to transition outcomes.</w:t>
      </w:r>
    </w:p>
    <w:p>
      <w:pPr>
        <w:keepNext/>
        <w:spacing w:after="80" w:before="240" w:line="276"/>
      </w:pPr>
      <w:r>
        <w:rPr>
          <w:rFonts w:ascii="Times New Roman" w:cs="Times New Roman" w:eastAsia="Times New Roman" w:hAnsi="Times New Roman"/>
          <w:b/>
          <w:bCs/>
          <w:sz w:val="20"/>
          <w:szCs w:val="20"/>
        </w:rPr>
        <w:t xml:space="preserve">Table 11. </w:t>
      </w:r>
      <w:r>
        <w:rPr>
          <w:rFonts w:ascii="Times New Roman" w:cs="Times New Roman" w:eastAsia="Times New Roman" w:hAnsi="Times New Roman"/>
          <w:sz w:val="20"/>
          <w:szCs w:val="20"/>
        </w:rPr>
        <w:t xml:space="preserve">Policy instruments and supporting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100"/>
        <w:gridCol w:w="2000"/>
        <w:gridCol w:w="1560"/>
      </w:tblGrid>
      <w:tr>
        <w:trPr>
          <w:tblHeader/>
        </w:trPr>
        <w:tc>
          <w:tcPr>
            <w:tcW w:type="dxa" w:w="27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Instrument</w:t>
            </w:r>
          </w:p>
        </w:tc>
        <w:tc>
          <w:tcPr>
            <w:tcW w:type="dxa" w:w="31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Evidence</w:t>
            </w:r>
          </w:p>
        </w:tc>
        <w:tc>
          <w:tcPr>
            <w:tcW w:type="dxa" w:w="20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Lead institutions</w:t>
            </w:r>
          </w:p>
        </w:tc>
        <w:tc>
          <w:tcPr>
            <w:tcW w:type="dxa" w:w="15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Horizon</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Meter refinery crude intake, reinjection and power-and-water fuel splits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Gaps of 10.5 Mtoe (refinery), 10.1 Mtoe (reinjection) and 5.1 Mtoe (power-and-water)</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Ministry of Energy and Minerals; NCSI; operators</w:t>
            </w:r>
          </w:p>
        </w:tc>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Short term</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Adopt the reconciled balance as the basis for NDC reporting</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Inventory of 88.1 Mt, including 1.A.1 categories previously missing</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Environment Authority; NCSI</w:t>
            </w:r>
          </w:p>
        </w:tc>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Short term</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Value freed gas in renewable procurement</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0.96 bcm freed; USD 0.16 billion preserved in 2025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OPWP; Ministry of Finance</w:t>
            </w:r>
          </w:p>
        </w:tc>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Short term</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Gradual domestic gas price path towards opportunity cost</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Implicit rent ≈ 4.7% of GDP</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Ministry of Finance; regulator</w:t>
            </w:r>
          </w:p>
        </w:tc>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Medium term</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Industrial TFEE benchmarking and fuel switching</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Industry 53% of TFC; 28.7 Mt CO₂</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Ministry of Energy and Minerals; industrial zones</w:t>
            </w:r>
          </w:p>
        </w:tc>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Medium term</w:t>
            </w:r>
          </w:p>
        </w:tc>
      </w:tr>
      <w:tr>
        <w:trPr>
          <w:cantSplit/>
        </w:trPr>
        <w:tc>
          <w:tcPr>
            <w:tcW w:type="dxa" w:w="2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Cost-reflective tariffs with targeted support; building codes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Buildings 78.5% of electricity</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Regulator; municipalities</w:t>
            </w:r>
          </w:p>
        </w:tc>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Short to medium term</w:t>
            </w:r>
          </w:p>
        </w:tc>
      </w:tr>
      <w:tr>
        <w:trPr>
          <w:cantSplit/>
        </w:trPr>
        <w:tc>
          <w:tcPr>
            <w:tcW w:type="dxa" w:w="2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Additionality rules for hydrogen</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16–20 GW for hydrogen versus 3.5–7 GW for the grid</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Hydrom; OPWP</w:t>
            </w:r>
          </w:p>
        </w:tc>
        <w:tc>
          <w:tcPr>
            <w:tcW w:type="dxa" w:w="15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Medium term</w:t>
            </w:r>
          </w:p>
        </w:tc>
      </w:tr>
    </w:tbl>
    <w:p>
      <w:pPr>
        <w:spacing w:after="240" w:before="60" w:line="240"/>
      </w:pPr>
      <w:r>
        <w:rPr>
          <w:rFonts w:ascii="Times New Roman" w:cs="Times New Roman" w:eastAsia="Times New Roman" w:hAnsi="Times New Roman"/>
          <w:sz w:val="18"/>
          <w:szCs w:val="18"/>
        </w:rPr>
        <w:t xml:space="preserve"> </w:t>
      </w:r>
    </w:p>
    <w:p>
      <w:pPr>
        <w:pStyle w:val="Heading2"/>
        <w:keepNext/>
        <w:spacing w:after="0" w:before="120" w:line="480"/>
      </w:pPr>
      <w:r>
        <w:rPr>
          <w:rFonts w:ascii="Times New Roman" w:cs="Times New Roman" w:eastAsia="Times New Roman" w:hAnsi="Times New Roman"/>
          <w:b/>
          <w:bCs/>
          <w:i w:val="false"/>
          <w:iCs w:val="false"/>
          <w:sz w:val="24"/>
          <w:szCs w:val="24"/>
        </w:rPr>
        <w:t xml:space="preserve">5.2. Limitations and future work</w:t>
      </w:r>
    </w:p>
    <w:p>
      <w:pPr>
        <w:spacing w:after="0" w:before="0" w:line="480"/>
        <w:ind w:firstLine="360"/>
        <w:jc w:val="both"/>
      </w:pPr>
      <w:r>
        <w:t xml:space="preserve">Table 12 catalogues the remaining limitations. The refinery reconciliation rests on an assumed net efficiency and on the attribution of the gap to crude exports (H1) or production (H2); metered intake data would replace both assumptions. The combusted share of oil-field gas, the split of power-and-water fuel and the non-energy share of naphtha are estimated rather than measured, and the Monte Carlo analysis quantifies but cannot remove their effect. The Tier 1 inventory excludes flaring (about 3.8 Mt in 2024 according to the Global Carbon Project), venting, fugitive methane and process emissions, all significant in an upstream-intensive economy (Elvidge et al., 2018). The 2015–2024 decomposition relies on international series whose definitions differ from the national balance, so the 2025 point is not strictly comparable with the series. Future work should build a national balance time series on the reconciled basis and move key categories to Tier 2.</w:t>
      </w:r>
    </w:p>
    <w:p>
      <w:pPr>
        <w:keepNext/>
        <w:spacing w:after="80" w:before="240" w:line="276"/>
      </w:pPr>
      <w:r>
        <w:rPr>
          <w:rFonts w:ascii="Times New Roman" w:cs="Times New Roman" w:eastAsia="Times New Roman" w:hAnsi="Times New Roman"/>
          <w:b/>
          <w:bCs/>
          <w:sz w:val="20"/>
          <w:szCs w:val="20"/>
        </w:rPr>
        <w:t xml:space="preserve">Table 12. </w:t>
      </w:r>
      <w:r>
        <w:rPr>
          <w:rFonts w:ascii="Times New Roman" w:cs="Times New Roman" w:eastAsia="Times New Roman" w:hAnsi="Times New Roman"/>
          <w:sz w:val="20"/>
          <w:szCs w:val="20"/>
        </w:rPr>
        <w:t xml:space="preserve">Remaining limitations and required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260"/>
      </w:tblGrid>
      <w:tr>
        <w:trPr>
          <w:tblHeader/>
        </w:trPr>
        <w:tc>
          <w:tcPr>
            <w:tcW w:type="dxa" w:w="28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Limitation</w:t>
            </w:r>
          </w:p>
        </w:tc>
        <w:tc>
          <w:tcPr>
            <w:tcW w:type="dxa" w:w="33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Effect</w:t>
            </w:r>
          </w:p>
        </w:tc>
        <w:tc>
          <w:tcPr>
            <w:tcW w:type="dxa" w:w="32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Required data</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Refinery crude intake not metered</w:t>
            </w:r>
          </w:p>
        </w:tc>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Production and SSR depend on H1/H2; TPES varies with η</w:t>
            </w:r>
            <w:r>
              <w:rPr>
                <w:rFonts w:ascii="Times New Roman" w:cs="Times New Roman" w:eastAsia="Times New Roman" w:hAnsi="Times New Roman"/>
                <w:b w:val="false"/>
                <w:bCs w:val="false"/>
                <w:sz w:val="18"/>
                <w:szCs w:val="18"/>
                <w:vertAlign w:val="subscript"/>
              </w:rPr>
              <w:t xml:space="preserve">ref</w:t>
            </w:r>
          </w:p>
        </w:tc>
        <w:tc>
          <w:tcPr>
            <w:tcW w:type="dxa" w:w="3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Refinery intake by refinery and crude origin</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Reinjection not separated from fuel use</w:t>
            </w:r>
          </w:p>
        </w:tc>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Dominant source of CO₂ and SSR uncertainty</w:t>
            </w:r>
          </w:p>
        </w:tc>
        <w:tc>
          <w:tcPr>
            <w:tcW w:type="dxa" w:w="3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Field-level reinjection and fuel gas</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Power-and-water fuel split</w:t>
            </w:r>
          </w:p>
        </w:tc>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5.1 Mtoe of fuel not attributed to grid electricity</w:t>
            </w:r>
          </w:p>
        </w:tc>
        <w:tc>
          <w:tcPr>
            <w:tcW w:type="dxa" w:w="3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Plant-level fuel, power and water output</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Non-energy use of naphtha</w:t>
            </w:r>
          </w:p>
        </w:tc>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Non-energy use 1,927–3,054 ktoe</w:t>
            </w:r>
          </w:p>
        </w:tc>
        <w:tc>
          <w:tcPr>
            <w:tcW w:type="dxa" w:w="3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Petrochemical feedstock statistics</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Bunkers incomplete</w:t>
            </w:r>
          </w:p>
        </w:tc>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Marine bunkers indicative</w:t>
            </w:r>
          </w:p>
        </w:tc>
        <w:tc>
          <w:tcPr>
            <w:tcW w:type="dxa" w:w="3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Port-level reconciliation</w:t>
            </w:r>
          </w:p>
        </w:tc>
      </w:tr>
      <w:tr>
        <w:trPr>
          <w:cantSplit/>
        </w:trPr>
        <w:tc>
          <w:tcPr>
            <w:tcW w:type="dxa" w:w="2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Tier 1 scope</w:t>
            </w:r>
          </w:p>
        </w:tc>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Flaring, venting, fugitive and process CO₂ excluded</w:t>
            </w:r>
          </w:p>
        </w:tc>
        <w:tc>
          <w:tcPr>
            <w:tcW w:type="dxa" w:w="3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Tier 2/3 upstream and cement inventory</w:t>
            </w:r>
          </w:p>
        </w:tc>
      </w:tr>
    </w:tbl>
    <w:p>
      <w:pPr>
        <w:spacing w:after="240" w:before="60" w:line="240"/>
      </w:pPr>
      <w:r>
        <w:rPr>
          <w:rFonts w:ascii="Times New Roman" w:cs="Times New Roman" w:eastAsia="Times New Roman" w:hAnsi="Times New Roman"/>
          <w:sz w:val="18"/>
          <w:szCs w:val="18"/>
        </w:rPr>
        <w:t xml:space="preserve"> </w:t>
      </w:r>
    </w:p>
    <w:p>
      <w:pPr>
        <w:pStyle w:val="Heading1"/>
        <w:keepNext/>
        <w:spacing w:after="0" w:before="240" w:line="480"/>
      </w:pPr>
      <w:r>
        <w:rPr>
          <w:rFonts w:ascii="Times New Roman" w:cs="Times New Roman" w:eastAsia="Times New Roman" w:hAnsi="Times New Roman"/>
          <w:b/>
          <w:bCs/>
          <w:i w:val="false"/>
          <w:iCs w:val="false"/>
          <w:sz w:val="26"/>
          <w:szCs w:val="26"/>
        </w:rPr>
        <w:t xml:space="preserve">6. Conclusions</w:t>
      </w:r>
    </w:p>
    <w:p>
      <w:pPr>
        <w:spacing w:after="0" w:before="0" w:line="480"/>
        <w:ind w:firstLine="360"/>
        <w:jc w:val="both"/>
      </w:pPr>
      <w:r>
        <w:t xml:space="preserve">This paper has developed a diagnostic reconciliation framework for producer-state energy balances and applied it to Oman. Arithmetic closure concealed four structural problems in the 2025 accounts: refinery output exceeding recorded crude intake, reinjected gas counted as production, thermal electricity counted as primary energy, and a large unallocated petroleum residual. After reconciliation, Oman produces 91.5 Mtoe against a primary supply of 38.9 Mtoe, a self-sufficiency ratio of 235% (262% if the refinery gap reflects under-recorded production). Fuel-combustion emissions are 88.1 MtCO₂, 74% of which derive from natural gas. Between 2015 and 2024 emissions grew by 14.1 Mt, driven by population growth and rising energy intensity, with no evidence of decoupling.</w:t>
      </w:r>
    </w:p>
    <w:p>
      <w:pPr>
        <w:spacing w:after="0" w:before="0" w:line="480"/>
        <w:ind w:firstLine="360"/>
        <w:jc w:val="both"/>
      </w:pPr>
      <w:r>
        <w:t xml:space="preserve">Renewables reached 8.85% of generation in 2025, avoiding about 2 MtCO₂ and freeing about 1 bcm of gas. This dual dividend aligns climate policy with the fiscal interests of a rentier state, but it is small relative to the implicit gas rent of about 4.7% of GDP transferred to domestic users. Deep decarbonization will therefore depend less on supply-side expansion alone than on reform of the domestic pricing and statistical institutions through which that rent is distributed and measured. Annually maintained, transparent energy accounts are a precondition for verifying progress towards Oman Vision 2040 and the 2050 net-zero target.</w:t>
      </w:r>
    </w:p>
    <w:p>
      <w:pPr>
        <w:pStyle w:val="Heading2"/>
        <w:keepNext/>
        <w:spacing w:after="0" w:before="120" w:line="480"/>
      </w:pPr>
      <w:r>
        <w:rPr>
          <w:rFonts w:ascii="Times New Roman" w:cs="Times New Roman" w:eastAsia="Times New Roman" w:hAnsi="Times New Roman"/>
          <w:b/>
          <w:bCs/>
          <w:i w:val="false"/>
          <w:iCs w:val="false"/>
          <w:sz w:val="24"/>
          <w:szCs w:val="24"/>
        </w:rPr>
        <w:t xml:space="preserve">Data availability</w:t>
      </w:r>
    </w:p>
    <w:p>
      <w:pPr>
        <w:spacing w:after="0" w:before="0" w:line="480"/>
        <w:jc w:val="both"/>
      </w:pPr>
      <w:r>
        <w:t xml:space="preserve">The reconciled balance, Monte Carlo outputs, time series and all scripts needed to reproduce the figures and tables are deposited at Zenodo (https://doi.org/10.5281/zenodo.XXXXXXX) under a CC BY 4.0 licence. Confidential company-level source data are not included; aggregate inputs are provided in the data package.</w:t>
      </w:r>
    </w:p>
    <w:p>
      <w:pPr>
        <w:pStyle w:val="Heading2"/>
        <w:keepNext/>
        <w:spacing w:after="0" w:before="120" w:line="480"/>
      </w:pPr>
      <w:r>
        <w:rPr>
          <w:rFonts w:ascii="Times New Roman" w:cs="Times New Roman" w:eastAsia="Times New Roman" w:hAnsi="Times New Roman"/>
          <w:b/>
          <w:bCs/>
          <w:i w:val="false"/>
          <w:iCs w:val="false"/>
          <w:sz w:val="24"/>
          <w:szCs w:val="24"/>
        </w:rPr>
        <w:t xml:space="preserve">Declaration of generative AI and AI-assisted technologies in the writing process</w:t>
      </w:r>
    </w:p>
    <w:p>
      <w:pPr>
        <w:spacing w:after="0" w:before="0" w:line="480"/>
        <w:jc w:val="both"/>
      </w:pPr>
      <w:r>
        <w:t xml:space="preserve">During the preparation of this work the authors used an AI assistant (Claude, Anthropic) for drafting support, figure scripting and language editing. The authors reviewed and edited all content and take full responsibility for the publication.</w:t>
      </w:r>
    </w:p>
    <w:p>
      <w:r>
        <w:br w:type="page"/>
      </w:r>
    </w:p>
    <w:p>
      <w:pPr>
        <w:pStyle w:val="Heading1"/>
        <w:keepNext/>
        <w:spacing w:after="0" w:before="240" w:line="480"/>
      </w:pPr>
      <w:r>
        <w:rPr>
          <w:rFonts w:ascii="Times New Roman" w:cs="Times New Roman" w:eastAsia="Times New Roman" w:hAnsi="Times New Roman"/>
          <w:b/>
          <w:bCs/>
          <w:i w:val="false"/>
          <w:iCs w:val="false"/>
          <w:sz w:val="26"/>
          <w:szCs w:val="26"/>
        </w:rPr>
        <w:t xml:space="preserve">References</w:t>
      </w:r>
    </w:p>
    <w:p>
      <w:pPr>
        <w:spacing w:after="80" w:line="360"/>
        <w:ind w:left="360" w:hanging="360"/>
        <w:jc w:val="left"/>
      </w:pPr>
      <w:r>
        <w:rPr>
          <w:rFonts w:ascii="Times New Roman" w:cs="Times New Roman" w:eastAsia="Times New Roman" w:hAnsi="Times New Roman"/>
          <w:sz w:val="22"/>
          <w:szCs w:val="22"/>
        </w:rPr>
        <w:t xml:space="preserve">Abdel-Gadir, S.E.M. and Mohammed, M.G.A. (2024) ‘Oman’s green horizon: steering towards sustainability through decarbonization and energy transition’, </w:t>
      </w:r>
      <w:r>
        <w:rPr>
          <w:rFonts w:ascii="Times New Roman" w:cs="Times New Roman" w:eastAsia="Times New Roman" w:hAnsi="Times New Roman"/>
          <w:i/>
          <w:iCs/>
          <w:sz w:val="22"/>
          <w:szCs w:val="22"/>
        </w:rPr>
        <w:t xml:space="preserve">Sustainability</w:t>
      </w:r>
      <w:r>
        <w:rPr>
          <w:rFonts w:ascii="Times New Roman" w:cs="Times New Roman" w:eastAsia="Times New Roman" w:hAnsi="Times New Roman"/>
          <w:sz w:val="22"/>
          <w:szCs w:val="22"/>
        </w:rPr>
        <w:t xml:space="preserve">, 16(21), 9375. https://doi.org/10.3390/su16219375</w:t>
      </w:r>
    </w:p>
    <w:p>
      <w:pPr>
        <w:spacing w:after="80" w:line="360"/>
        <w:ind w:left="360" w:hanging="360"/>
        <w:jc w:val="left"/>
      </w:pPr>
      <w:r>
        <w:rPr>
          <w:rFonts w:ascii="Times New Roman" w:cs="Times New Roman" w:eastAsia="Times New Roman" w:hAnsi="Times New Roman"/>
          <w:sz w:val="22"/>
          <w:szCs w:val="22"/>
        </w:rPr>
        <w:t xml:space="preserve">Ahshan, R., Onen, A. and Al-Badi, A.H. (2022) ‘Assessment of wind-to-hydrogen (Wind-H2) generation prospects in the Sultanate of Oman’, </w:t>
      </w:r>
      <w:r>
        <w:rPr>
          <w:rFonts w:ascii="Times New Roman" w:cs="Times New Roman" w:eastAsia="Times New Roman" w:hAnsi="Times New Roman"/>
          <w:i/>
          <w:iCs/>
          <w:sz w:val="22"/>
          <w:szCs w:val="22"/>
        </w:rPr>
        <w:t xml:space="preserve">Renewable Energy</w:t>
      </w:r>
      <w:r>
        <w:rPr>
          <w:rFonts w:ascii="Times New Roman" w:cs="Times New Roman" w:eastAsia="Times New Roman" w:hAnsi="Times New Roman"/>
          <w:sz w:val="22"/>
          <w:szCs w:val="22"/>
        </w:rPr>
        <w:t xml:space="preserve">, 200, pp. 271–282. https://doi.org/10.1016/j.renene.2022.09.116</w:t>
      </w:r>
    </w:p>
    <w:p>
      <w:pPr>
        <w:spacing w:after="80" w:line="360"/>
        <w:ind w:left="360" w:hanging="360"/>
        <w:jc w:val="left"/>
      </w:pPr>
      <w:r>
        <w:rPr>
          <w:rFonts w:ascii="Times New Roman" w:cs="Times New Roman" w:eastAsia="Times New Roman" w:hAnsi="Times New Roman"/>
          <w:sz w:val="22"/>
          <w:szCs w:val="22"/>
        </w:rPr>
        <w:t xml:space="preserve">Al-Abri, Z.M., Alawasa, K.M., Al-Abri, R.S., Al-Hinai, A.S. and Awad, A.S.A. (2024) ‘Multi-criteria decision-making approach for optimal energy storage system selection and applications in Oman’, </w:t>
      </w:r>
      <w:r>
        <w:rPr>
          <w:rFonts w:ascii="Times New Roman" w:cs="Times New Roman" w:eastAsia="Times New Roman" w:hAnsi="Times New Roman"/>
          <w:i/>
          <w:iCs/>
          <w:sz w:val="22"/>
          <w:szCs w:val="22"/>
        </w:rPr>
        <w:t xml:space="preserve">Energies</w:t>
      </w:r>
      <w:r>
        <w:rPr>
          <w:rFonts w:ascii="Times New Roman" w:cs="Times New Roman" w:eastAsia="Times New Roman" w:hAnsi="Times New Roman"/>
          <w:sz w:val="22"/>
          <w:szCs w:val="22"/>
        </w:rPr>
        <w:t xml:space="preserve">, 17(20), 5197. https://doi.org/10.3390/en17205197</w:t>
      </w:r>
    </w:p>
    <w:p>
      <w:pPr>
        <w:spacing w:after="80" w:line="360"/>
        <w:ind w:left="360" w:hanging="360"/>
        <w:jc w:val="left"/>
      </w:pPr>
      <w:r>
        <w:rPr>
          <w:rFonts w:ascii="Times New Roman" w:cs="Times New Roman" w:eastAsia="Times New Roman" w:hAnsi="Times New Roman"/>
          <w:sz w:val="22"/>
          <w:szCs w:val="22"/>
        </w:rPr>
        <w:t xml:space="preserve">Al-Badi, A. and AlMubarak, I. (2019) ‘Growing energy demand in the GCC countries’, </w:t>
      </w:r>
      <w:r>
        <w:rPr>
          <w:rFonts w:ascii="Times New Roman" w:cs="Times New Roman" w:eastAsia="Times New Roman" w:hAnsi="Times New Roman"/>
          <w:i/>
          <w:iCs/>
          <w:sz w:val="22"/>
          <w:szCs w:val="22"/>
        </w:rPr>
        <w:t xml:space="preserve">Arab Journal of Basic and Applied Sciences</w:t>
      </w:r>
      <w:r>
        <w:rPr>
          <w:rFonts w:ascii="Times New Roman" w:cs="Times New Roman" w:eastAsia="Times New Roman" w:hAnsi="Times New Roman"/>
          <w:sz w:val="22"/>
          <w:szCs w:val="22"/>
        </w:rPr>
        <w:t xml:space="preserve">, 26(1), pp. 488–496. https://doi.org/10.1080/25765299.2019.1687396</w:t>
      </w:r>
    </w:p>
    <w:p>
      <w:pPr>
        <w:spacing w:after="80" w:line="360"/>
        <w:ind w:left="360" w:hanging="360"/>
        <w:jc w:val="left"/>
      </w:pPr>
      <w:r>
        <w:rPr>
          <w:rFonts w:ascii="Times New Roman" w:cs="Times New Roman" w:eastAsia="Times New Roman" w:hAnsi="Times New Roman"/>
          <w:sz w:val="22"/>
          <w:szCs w:val="22"/>
        </w:rPr>
        <w:t xml:space="preserve">Al-Badi, A.H., Malik, A. and Gastli, A. (2011) ‘Sustainable energy usage in Oman—opportunities and barriers’, </w:t>
      </w:r>
      <w:r>
        <w:rPr>
          <w:rFonts w:ascii="Times New Roman" w:cs="Times New Roman" w:eastAsia="Times New Roman" w:hAnsi="Times New Roman"/>
          <w:i/>
          <w:iCs/>
          <w:sz w:val="22"/>
          <w:szCs w:val="22"/>
        </w:rPr>
        <w:t xml:space="preserve">Renewable and Sustainable Energy Reviews</w:t>
      </w:r>
      <w:r>
        <w:rPr>
          <w:rFonts w:ascii="Times New Roman" w:cs="Times New Roman" w:eastAsia="Times New Roman" w:hAnsi="Times New Roman"/>
          <w:sz w:val="22"/>
          <w:szCs w:val="22"/>
        </w:rPr>
        <w:t xml:space="preserve">, 15(8), pp. 3780–3788. https://doi.org/10.1016/j.rser.2011.06.007</w:t>
      </w:r>
    </w:p>
    <w:p>
      <w:pPr>
        <w:spacing w:after="80" w:line="360"/>
        <w:ind w:left="360" w:hanging="360"/>
        <w:jc w:val="left"/>
      </w:pPr>
      <w:r>
        <w:rPr>
          <w:rFonts w:ascii="Times New Roman" w:cs="Times New Roman" w:eastAsia="Times New Roman" w:hAnsi="Times New Roman"/>
          <w:sz w:val="22"/>
          <w:szCs w:val="22"/>
        </w:rPr>
        <w:t xml:space="preserve">Ali, M.J. (2025) ‘The impact of green financing in advancing renewable energy and smart infrastructure in Oman’, </w:t>
      </w:r>
      <w:r>
        <w:rPr>
          <w:rFonts w:ascii="Times New Roman" w:cs="Times New Roman" w:eastAsia="Times New Roman" w:hAnsi="Times New Roman"/>
          <w:i/>
          <w:iCs/>
          <w:sz w:val="22"/>
          <w:szCs w:val="22"/>
        </w:rPr>
        <w:t xml:space="preserve">International Journal of Research and Innovation in Social Science</w:t>
      </w:r>
      <w:r>
        <w:rPr>
          <w:rFonts w:ascii="Times New Roman" w:cs="Times New Roman" w:eastAsia="Times New Roman" w:hAnsi="Times New Roman"/>
          <w:sz w:val="22"/>
          <w:szCs w:val="22"/>
        </w:rPr>
        <w:t xml:space="preserve">, 9(9), pp. 8574–8593. https://doi.org/10.47772/IJRISS.2025.909000701</w:t>
      </w:r>
    </w:p>
    <w:p>
      <w:pPr>
        <w:spacing w:after="80" w:line="360"/>
        <w:ind w:left="360" w:hanging="360"/>
        <w:jc w:val="left"/>
      </w:pPr>
      <w:r>
        <w:rPr>
          <w:rFonts w:ascii="Times New Roman" w:cs="Times New Roman" w:eastAsia="Times New Roman" w:hAnsi="Times New Roman"/>
          <w:sz w:val="22"/>
          <w:szCs w:val="22"/>
        </w:rPr>
        <w:t xml:space="preserve">Al-Iriani, M.A. (2006) ‘Energy–GDP relationship revisited: an example from GCC countries using panel causality’, </w:t>
      </w:r>
      <w:r>
        <w:rPr>
          <w:rFonts w:ascii="Times New Roman" w:cs="Times New Roman" w:eastAsia="Times New Roman" w:hAnsi="Times New Roman"/>
          <w:i/>
          <w:iCs/>
          <w:sz w:val="22"/>
          <w:szCs w:val="22"/>
        </w:rPr>
        <w:t xml:space="preserve">Energy Policy</w:t>
      </w:r>
      <w:r>
        <w:rPr>
          <w:rFonts w:ascii="Times New Roman" w:cs="Times New Roman" w:eastAsia="Times New Roman" w:hAnsi="Times New Roman"/>
          <w:sz w:val="22"/>
          <w:szCs w:val="22"/>
        </w:rPr>
        <w:t xml:space="preserve">, 34(17), pp. 3342–3350.</w:t>
      </w:r>
    </w:p>
    <w:p>
      <w:pPr>
        <w:spacing w:after="80" w:line="360"/>
        <w:ind w:left="360" w:hanging="360"/>
        <w:jc w:val="left"/>
      </w:pPr>
      <w:r>
        <w:rPr>
          <w:rFonts w:ascii="Times New Roman" w:cs="Times New Roman" w:eastAsia="Times New Roman" w:hAnsi="Times New Roman"/>
          <w:sz w:val="22"/>
          <w:szCs w:val="22"/>
        </w:rPr>
        <w:t xml:space="preserve">Al-Maamary, H.M.S., Kazem, H.A. and Chaichan, M.T. (2017a) ‘Climate change: the game changer in the Gulf Cooperation Council region’, </w:t>
      </w:r>
      <w:r>
        <w:rPr>
          <w:rFonts w:ascii="Times New Roman" w:cs="Times New Roman" w:eastAsia="Times New Roman" w:hAnsi="Times New Roman"/>
          <w:i/>
          <w:iCs/>
          <w:sz w:val="22"/>
          <w:szCs w:val="22"/>
        </w:rPr>
        <w:t xml:space="preserve">Renewable and Sustainable Energy Reviews</w:t>
      </w:r>
      <w:r>
        <w:rPr>
          <w:rFonts w:ascii="Times New Roman" w:cs="Times New Roman" w:eastAsia="Times New Roman" w:hAnsi="Times New Roman"/>
          <w:sz w:val="22"/>
          <w:szCs w:val="22"/>
        </w:rPr>
        <w:t xml:space="preserve">, 76, pp. 555–576. https://doi.org/10.1016/j.rser.2017.03.048</w:t>
      </w:r>
    </w:p>
    <w:p>
      <w:pPr>
        <w:spacing w:after="80" w:line="360"/>
        <w:ind w:left="360" w:hanging="360"/>
        <w:jc w:val="left"/>
      </w:pPr>
      <w:r>
        <w:rPr>
          <w:rFonts w:ascii="Times New Roman" w:cs="Times New Roman" w:eastAsia="Times New Roman" w:hAnsi="Times New Roman"/>
          <w:sz w:val="22"/>
          <w:szCs w:val="22"/>
        </w:rPr>
        <w:t xml:space="preserve">Al-Maamary, H.M.S., Kazem, H.A. and Chaichan, M.T. (2017b) ‘The impact of oil price fluctuations on common renewable energies in GCC countries’, </w:t>
      </w:r>
      <w:r>
        <w:rPr>
          <w:rFonts w:ascii="Times New Roman" w:cs="Times New Roman" w:eastAsia="Times New Roman" w:hAnsi="Times New Roman"/>
          <w:i/>
          <w:iCs/>
          <w:sz w:val="22"/>
          <w:szCs w:val="22"/>
        </w:rPr>
        <w:t xml:space="preserve">Renewable and Sustainable Energy Reviews</w:t>
      </w:r>
      <w:r>
        <w:rPr>
          <w:rFonts w:ascii="Times New Roman" w:cs="Times New Roman" w:eastAsia="Times New Roman" w:hAnsi="Times New Roman"/>
          <w:sz w:val="22"/>
          <w:szCs w:val="22"/>
        </w:rPr>
        <w:t xml:space="preserve">, 75, pp. 989–1007. https://doi.org/10.1016/j.rser.2016.11.079</w:t>
      </w:r>
    </w:p>
    <w:p>
      <w:pPr>
        <w:spacing w:after="80" w:line="360"/>
        <w:ind w:left="360" w:hanging="360"/>
        <w:jc w:val="left"/>
      </w:pPr>
      <w:r>
        <w:rPr>
          <w:rFonts w:ascii="Times New Roman" w:cs="Times New Roman" w:eastAsia="Times New Roman" w:hAnsi="Times New Roman"/>
          <w:sz w:val="22"/>
          <w:szCs w:val="22"/>
        </w:rPr>
        <w:t xml:space="preserve">Almasri, R.A. and Narayan, S. (2021) ‘A recent review of energy efficiency and renewable energy in the Gulf Cooperation Council (GCC) region’, </w:t>
      </w:r>
      <w:r>
        <w:rPr>
          <w:rFonts w:ascii="Times New Roman" w:cs="Times New Roman" w:eastAsia="Times New Roman" w:hAnsi="Times New Roman"/>
          <w:i/>
          <w:iCs/>
          <w:sz w:val="22"/>
          <w:szCs w:val="22"/>
        </w:rPr>
        <w:t xml:space="preserve">International Journal of Green Energy</w:t>
      </w:r>
      <w:r>
        <w:rPr>
          <w:rFonts w:ascii="Times New Roman" w:cs="Times New Roman" w:eastAsia="Times New Roman" w:hAnsi="Times New Roman"/>
          <w:sz w:val="22"/>
          <w:szCs w:val="22"/>
        </w:rPr>
        <w:t xml:space="preserve">, 18(14), pp. 1441–1468. https://doi.org/10.1080/15435075.2021.1904941</w:t>
      </w:r>
    </w:p>
    <w:p>
      <w:pPr>
        <w:spacing w:after="80" w:line="360"/>
        <w:ind w:left="360" w:hanging="360"/>
        <w:jc w:val="left"/>
      </w:pPr>
      <w:r>
        <w:rPr>
          <w:rFonts w:ascii="Times New Roman" w:cs="Times New Roman" w:eastAsia="Times New Roman" w:hAnsi="Times New Roman"/>
          <w:sz w:val="22"/>
          <w:szCs w:val="22"/>
        </w:rPr>
        <w:t xml:space="preserve">Al-Sarihi, A. and Cherni, J.A. (2023) ‘Political economy of renewable energy transition in rentier states: the case of Oman’, </w:t>
      </w:r>
      <w:r>
        <w:rPr>
          <w:rFonts w:ascii="Times New Roman" w:cs="Times New Roman" w:eastAsia="Times New Roman" w:hAnsi="Times New Roman"/>
          <w:i/>
          <w:iCs/>
          <w:sz w:val="22"/>
          <w:szCs w:val="22"/>
        </w:rPr>
        <w:t xml:space="preserve">Environmental Policy and Governance</w:t>
      </w:r>
      <w:r>
        <w:rPr>
          <w:rFonts w:ascii="Times New Roman" w:cs="Times New Roman" w:eastAsia="Times New Roman" w:hAnsi="Times New Roman"/>
          <w:sz w:val="22"/>
          <w:szCs w:val="22"/>
        </w:rPr>
        <w:t xml:space="preserve">, 33(4), pp. 423–439. https://doi.org/10.1002/eet.2041</w:t>
      </w:r>
    </w:p>
    <w:p>
      <w:pPr>
        <w:spacing w:after="80" w:line="360"/>
        <w:ind w:left="360" w:hanging="360"/>
        <w:jc w:val="left"/>
      </w:pPr>
      <w:r>
        <w:rPr>
          <w:rFonts w:ascii="Times New Roman" w:cs="Times New Roman" w:eastAsia="Times New Roman" w:hAnsi="Times New Roman"/>
          <w:sz w:val="22"/>
          <w:szCs w:val="22"/>
        </w:rPr>
        <w:t xml:space="preserve">Amoatey, P., Al-Hinai, A., Al-Mamun, A. and Said Baawain, M. (2022) ‘A review of recent renewable energy status and potentials in Oman’, </w:t>
      </w:r>
      <w:r>
        <w:rPr>
          <w:rFonts w:ascii="Times New Roman" w:cs="Times New Roman" w:eastAsia="Times New Roman" w:hAnsi="Times New Roman"/>
          <w:i/>
          <w:iCs/>
          <w:sz w:val="22"/>
          <w:szCs w:val="22"/>
        </w:rPr>
        <w:t xml:space="preserve">Sustainable Energy Technologies and Assessments</w:t>
      </w:r>
      <w:r>
        <w:rPr>
          <w:rFonts w:ascii="Times New Roman" w:cs="Times New Roman" w:eastAsia="Times New Roman" w:hAnsi="Times New Roman"/>
          <w:sz w:val="22"/>
          <w:szCs w:val="22"/>
        </w:rPr>
        <w:t xml:space="preserve">, 51, 101919. https://doi.org/10.1016/j.seta.2021.101919</w:t>
      </w:r>
    </w:p>
    <w:p>
      <w:pPr>
        <w:spacing w:after="80" w:line="360"/>
        <w:ind w:left="360" w:hanging="360"/>
        <w:jc w:val="left"/>
      </w:pPr>
      <w:r>
        <w:rPr>
          <w:rFonts w:ascii="Times New Roman" w:cs="Times New Roman" w:eastAsia="Times New Roman" w:hAnsi="Times New Roman"/>
          <w:sz w:val="22"/>
          <w:szCs w:val="22"/>
        </w:rPr>
        <w:t xml:space="preserve">Amoatey, P., Al-Nadabi, A., Chen, M., Nikoo, M.R., Al-Maktoumi, A., Al-Hinai, A. and Izady, A. (2025) ‘Transition to sustainable hydrogen energy in Oman: implication for future socio-economic transformation and environmental well-being’, </w:t>
      </w:r>
      <w:r>
        <w:rPr>
          <w:rFonts w:ascii="Times New Roman" w:cs="Times New Roman" w:eastAsia="Times New Roman" w:hAnsi="Times New Roman"/>
          <w:i/>
          <w:iCs/>
          <w:sz w:val="22"/>
          <w:szCs w:val="22"/>
        </w:rPr>
        <w:t xml:space="preserve">Environment, Development and Sustainability</w:t>
      </w:r>
      <w:r>
        <w:rPr>
          <w:rFonts w:ascii="Times New Roman" w:cs="Times New Roman" w:eastAsia="Times New Roman" w:hAnsi="Times New Roman"/>
          <w:sz w:val="22"/>
          <w:szCs w:val="22"/>
        </w:rPr>
        <w:t xml:space="preserve">, 27(7), pp. 15213–15234. https://doi.org/10.1007/s10668-024-04657-8</w:t>
      </w:r>
    </w:p>
    <w:p>
      <w:pPr>
        <w:spacing w:after="80" w:line="360"/>
        <w:ind w:left="360" w:hanging="360"/>
        <w:jc w:val="left"/>
      </w:pPr>
      <w:r>
        <w:rPr>
          <w:rFonts w:ascii="Times New Roman" w:cs="Times New Roman" w:eastAsia="Times New Roman" w:hAnsi="Times New Roman"/>
          <w:sz w:val="22"/>
          <w:szCs w:val="22"/>
        </w:rPr>
        <w:t xml:space="preserve">Ang, B.W. (2015) ‘LMDI decomposition approach: a guide for implementation’, </w:t>
      </w:r>
      <w:r>
        <w:rPr>
          <w:rFonts w:ascii="Times New Roman" w:cs="Times New Roman" w:eastAsia="Times New Roman" w:hAnsi="Times New Roman"/>
          <w:i/>
          <w:iCs/>
          <w:sz w:val="22"/>
          <w:szCs w:val="22"/>
        </w:rPr>
        <w:t xml:space="preserve">Energy Policy</w:t>
      </w:r>
      <w:r>
        <w:rPr>
          <w:rFonts w:ascii="Times New Roman" w:cs="Times New Roman" w:eastAsia="Times New Roman" w:hAnsi="Times New Roman"/>
          <w:sz w:val="22"/>
          <w:szCs w:val="22"/>
        </w:rPr>
        <w:t xml:space="preserve">, 86, pp. 233–238. https://doi.org/10.1016/j.enpol.2015.07.007</w:t>
      </w:r>
    </w:p>
    <w:p>
      <w:pPr>
        <w:spacing w:after="80" w:line="360"/>
        <w:ind w:left="360" w:hanging="360"/>
        <w:jc w:val="left"/>
      </w:pPr>
      <w:r>
        <w:rPr>
          <w:rFonts w:ascii="Times New Roman" w:cs="Times New Roman" w:eastAsia="Times New Roman" w:hAnsi="Times New Roman"/>
          <w:sz w:val="22"/>
          <w:szCs w:val="22"/>
        </w:rPr>
        <w:t xml:space="preserve">Ang, B.W., Choong, W.L. and Ng, T.S. (2015) ‘Energy security: definitions, dimensions and indexes’, </w:t>
      </w:r>
      <w:r>
        <w:rPr>
          <w:rFonts w:ascii="Times New Roman" w:cs="Times New Roman" w:eastAsia="Times New Roman" w:hAnsi="Times New Roman"/>
          <w:i/>
          <w:iCs/>
          <w:sz w:val="22"/>
          <w:szCs w:val="22"/>
        </w:rPr>
        <w:t xml:space="preserve">Renewable and Sustainable Energy Reviews</w:t>
      </w:r>
      <w:r>
        <w:rPr>
          <w:rFonts w:ascii="Times New Roman" w:cs="Times New Roman" w:eastAsia="Times New Roman" w:hAnsi="Times New Roman"/>
          <w:sz w:val="22"/>
          <w:szCs w:val="22"/>
        </w:rPr>
        <w:t xml:space="preserve">, 42, pp. 1077–1093. https://doi.org/10.1016/j.rser.2014.10.064</w:t>
      </w:r>
    </w:p>
    <w:p>
      <w:pPr>
        <w:spacing w:after="80" w:line="360"/>
        <w:ind w:left="360" w:hanging="360"/>
        <w:jc w:val="left"/>
      </w:pPr>
      <w:r>
        <w:rPr>
          <w:rFonts w:ascii="Times New Roman" w:cs="Times New Roman" w:eastAsia="Times New Roman" w:hAnsi="Times New Roman"/>
          <w:sz w:val="22"/>
          <w:szCs w:val="22"/>
        </w:rPr>
        <w:t xml:space="preserve">Argus Media (2023) ‘COP: Oman updates NDC with more ambitious 2030 goal’, </w:t>
      </w:r>
      <w:r>
        <w:rPr>
          <w:rFonts w:ascii="Times New Roman" w:cs="Times New Roman" w:eastAsia="Times New Roman" w:hAnsi="Times New Roman"/>
          <w:i/>
          <w:iCs/>
          <w:sz w:val="22"/>
          <w:szCs w:val="22"/>
        </w:rPr>
        <w:t xml:space="preserve">Argus Media</w:t>
      </w:r>
      <w:r>
        <w:rPr>
          <w:rFonts w:ascii="Times New Roman" w:cs="Times New Roman" w:eastAsia="Times New Roman" w:hAnsi="Times New Roman"/>
          <w:sz w:val="22"/>
          <w:szCs w:val="22"/>
        </w:rPr>
        <w:t xml:space="preserve">, 30 November.</w:t>
      </w:r>
    </w:p>
    <w:p>
      <w:pPr>
        <w:spacing w:after="80" w:line="360"/>
        <w:ind w:left="360" w:hanging="360"/>
        <w:jc w:val="left"/>
      </w:pPr>
      <w:r>
        <w:rPr>
          <w:rFonts w:ascii="Times New Roman" w:cs="Times New Roman" w:eastAsia="Times New Roman" w:hAnsi="Times New Roman"/>
          <w:sz w:val="22"/>
          <w:szCs w:val="22"/>
        </w:rPr>
        <w:t xml:space="preserve">Beblawi, H. and Luciani, G. (eds) (1987) </w:t>
      </w:r>
      <w:r>
        <w:rPr>
          <w:rFonts w:ascii="Times New Roman" w:cs="Times New Roman" w:eastAsia="Times New Roman" w:hAnsi="Times New Roman"/>
          <w:i/>
          <w:iCs/>
          <w:sz w:val="22"/>
          <w:szCs w:val="22"/>
        </w:rPr>
        <w:t xml:space="preserve">The Rentier State</w:t>
      </w:r>
      <w:r>
        <w:rPr>
          <w:rFonts w:ascii="Times New Roman" w:cs="Times New Roman" w:eastAsia="Times New Roman" w:hAnsi="Times New Roman"/>
          <w:sz w:val="22"/>
          <w:szCs w:val="22"/>
        </w:rPr>
        <w:t xml:space="preserve">. London: Croom Helm.</w:t>
      </w:r>
    </w:p>
    <w:p>
      <w:pPr>
        <w:spacing w:after="80" w:line="360"/>
        <w:ind w:left="360" w:hanging="360"/>
        <w:jc w:val="left"/>
      </w:pPr>
      <w:r>
        <w:rPr>
          <w:rFonts w:ascii="Times New Roman" w:cs="Times New Roman" w:eastAsia="Times New Roman" w:hAnsi="Times New Roman"/>
          <w:sz w:val="22"/>
          <w:szCs w:val="22"/>
        </w:rPr>
        <w:t xml:space="preserve">Bekhet, H.A., Matar, A. and Yasmin, T. (2017) ‘CO2 emissions, energy consumption, economic growth, and financial development in GCC countries: dynamic simultaneous equation models’, </w:t>
      </w:r>
      <w:r>
        <w:rPr>
          <w:rFonts w:ascii="Times New Roman" w:cs="Times New Roman" w:eastAsia="Times New Roman" w:hAnsi="Times New Roman"/>
          <w:i/>
          <w:iCs/>
          <w:sz w:val="22"/>
          <w:szCs w:val="22"/>
        </w:rPr>
        <w:t xml:space="preserve">Renewable and Sustainable Energy Reviews</w:t>
      </w:r>
      <w:r>
        <w:rPr>
          <w:rFonts w:ascii="Times New Roman" w:cs="Times New Roman" w:eastAsia="Times New Roman" w:hAnsi="Times New Roman"/>
          <w:sz w:val="22"/>
          <w:szCs w:val="22"/>
        </w:rPr>
        <w:t xml:space="preserve">, 70, pp. 117–132. https://doi.org/10.1016/j.rser.2016.11.089</w:t>
      </w:r>
    </w:p>
    <w:p>
      <w:pPr>
        <w:spacing w:after="80" w:line="360"/>
        <w:ind w:left="360" w:hanging="360"/>
        <w:jc w:val="left"/>
      </w:pPr>
      <w:r>
        <w:rPr>
          <w:rFonts w:ascii="Times New Roman" w:cs="Times New Roman" w:eastAsia="Times New Roman" w:hAnsi="Times New Roman"/>
          <w:sz w:val="22"/>
          <w:szCs w:val="22"/>
        </w:rPr>
        <w:t xml:space="preserve">Charabi, Y., Al-Awadhi, T. and Choudri, B.S. (2018) ‘Strategic pathways and regulatory choices for effective GHG reduction in hydrocarbon based economy: case of Oman’, </w:t>
      </w:r>
      <w:r>
        <w:rPr>
          <w:rFonts w:ascii="Times New Roman" w:cs="Times New Roman" w:eastAsia="Times New Roman" w:hAnsi="Times New Roman"/>
          <w:i/>
          <w:iCs/>
          <w:sz w:val="22"/>
          <w:szCs w:val="22"/>
        </w:rPr>
        <w:t xml:space="preserve">Energy Reports</w:t>
      </w:r>
      <w:r>
        <w:rPr>
          <w:rFonts w:ascii="Times New Roman" w:cs="Times New Roman" w:eastAsia="Times New Roman" w:hAnsi="Times New Roman"/>
          <w:sz w:val="22"/>
          <w:szCs w:val="22"/>
        </w:rPr>
        <w:t xml:space="preserve">, 4, pp. 653–659. https://doi.org/10.1016/j.egyr.2018.10.005</w:t>
      </w:r>
    </w:p>
    <w:p>
      <w:pPr>
        <w:spacing w:after="80" w:line="360"/>
        <w:ind w:left="360" w:hanging="360"/>
        <w:jc w:val="left"/>
      </w:pPr>
      <w:r>
        <w:rPr>
          <w:rFonts w:ascii="Times New Roman" w:cs="Times New Roman" w:eastAsia="Times New Roman" w:hAnsi="Times New Roman"/>
          <w:sz w:val="22"/>
          <w:szCs w:val="22"/>
        </w:rPr>
        <w:t xml:space="preserve">Davis, S.J., Peters, G.P. and Caldeira, K. (2011) ‘The supply chain of CO2 emissions’, </w:t>
      </w:r>
      <w:r>
        <w:rPr>
          <w:rFonts w:ascii="Times New Roman" w:cs="Times New Roman" w:eastAsia="Times New Roman" w:hAnsi="Times New Roman"/>
          <w:i/>
          <w:iCs/>
          <w:sz w:val="22"/>
          <w:szCs w:val="22"/>
        </w:rPr>
        <w:t xml:space="preserve">Proceedings of the National Academy of Sciences</w:t>
      </w:r>
      <w:r>
        <w:rPr>
          <w:rFonts w:ascii="Times New Roman" w:cs="Times New Roman" w:eastAsia="Times New Roman" w:hAnsi="Times New Roman"/>
          <w:sz w:val="22"/>
          <w:szCs w:val="22"/>
        </w:rPr>
        <w:t xml:space="preserve">, 108(45), pp. 18554–18559. https://doi.org/10.1073/pnas.1107409108</w:t>
      </w:r>
    </w:p>
    <w:p>
      <w:pPr>
        <w:spacing w:after="80" w:line="360"/>
        <w:ind w:left="360" w:hanging="360"/>
        <w:jc w:val="left"/>
      </w:pPr>
      <w:r>
        <w:rPr>
          <w:rFonts w:ascii="Times New Roman" w:cs="Times New Roman" w:eastAsia="Times New Roman" w:hAnsi="Times New Roman"/>
          <w:sz w:val="22"/>
          <w:szCs w:val="22"/>
        </w:rPr>
        <w:t xml:space="preserve">Denholm, P. and Hand, M. (2011) ‘Grid flexibility and storage required to achieve very high penetration of variable renewable electricity’, </w:t>
      </w:r>
      <w:r>
        <w:rPr>
          <w:rFonts w:ascii="Times New Roman" w:cs="Times New Roman" w:eastAsia="Times New Roman" w:hAnsi="Times New Roman"/>
          <w:i/>
          <w:iCs/>
          <w:sz w:val="22"/>
          <w:szCs w:val="22"/>
        </w:rPr>
        <w:t xml:space="preserve">Energy Policy</w:t>
      </w:r>
      <w:r>
        <w:rPr>
          <w:rFonts w:ascii="Times New Roman" w:cs="Times New Roman" w:eastAsia="Times New Roman" w:hAnsi="Times New Roman"/>
          <w:sz w:val="22"/>
          <w:szCs w:val="22"/>
        </w:rPr>
        <w:t xml:space="preserve">, 39(3), pp. 1817–1830. https://doi.org/10.1016/j.enpol.2011.01.019</w:t>
      </w:r>
    </w:p>
    <w:p>
      <w:pPr>
        <w:spacing w:after="80" w:line="360"/>
        <w:ind w:left="360" w:hanging="360"/>
        <w:jc w:val="left"/>
      </w:pPr>
      <w:r>
        <w:rPr>
          <w:rFonts w:ascii="Times New Roman" w:cs="Times New Roman" w:eastAsia="Times New Roman" w:hAnsi="Times New Roman"/>
          <w:sz w:val="22"/>
          <w:szCs w:val="22"/>
        </w:rPr>
        <w:t xml:space="preserve">Elvidge, C.D., Bazilian, M.D., Zhizhin, M., Ghosh, T., Baugh, K. and Hsu, F.C. (2018) ‘The potential role of natural gas flaring in meeting greenhouse gas mitigation targets’, </w:t>
      </w:r>
      <w:r>
        <w:rPr>
          <w:rFonts w:ascii="Times New Roman" w:cs="Times New Roman" w:eastAsia="Times New Roman" w:hAnsi="Times New Roman"/>
          <w:i/>
          <w:iCs/>
          <w:sz w:val="22"/>
          <w:szCs w:val="22"/>
        </w:rPr>
        <w:t xml:space="preserve">Energy Strategy Reviews</w:t>
      </w:r>
      <w:r>
        <w:rPr>
          <w:rFonts w:ascii="Times New Roman" w:cs="Times New Roman" w:eastAsia="Times New Roman" w:hAnsi="Times New Roman"/>
          <w:sz w:val="22"/>
          <w:szCs w:val="22"/>
        </w:rPr>
        <w:t xml:space="preserve">, 20, pp. 156–162. https://doi.org/10.1016/j.esr.2017.12.012</w:t>
      </w:r>
    </w:p>
    <w:p>
      <w:pPr>
        <w:spacing w:after="80" w:line="360"/>
        <w:ind w:left="360" w:hanging="360"/>
        <w:jc w:val="left"/>
      </w:pPr>
      <w:r>
        <w:rPr>
          <w:rFonts w:ascii="Times New Roman" w:cs="Times New Roman" w:eastAsia="Times New Roman" w:hAnsi="Times New Roman"/>
          <w:sz w:val="22"/>
          <w:szCs w:val="22"/>
        </w:rPr>
        <w:t xml:space="preserve">Ember (2026) </w:t>
      </w:r>
      <w:r>
        <w:rPr>
          <w:rFonts w:ascii="Times New Roman" w:cs="Times New Roman" w:eastAsia="Times New Roman" w:hAnsi="Times New Roman"/>
          <w:i/>
          <w:iCs/>
          <w:sz w:val="22"/>
          <w:szCs w:val="22"/>
        </w:rPr>
        <w:t xml:space="preserve">Yearly Electricity Data</w:t>
      </w:r>
      <w:r>
        <w:rPr>
          <w:rFonts w:ascii="Times New Roman" w:cs="Times New Roman" w:eastAsia="Times New Roman" w:hAnsi="Times New Roman"/>
          <w:sz w:val="22"/>
          <w:szCs w:val="22"/>
        </w:rPr>
        <w:t xml:space="preserve">. London: Ember. Available via the Our World in Data energy dataset (accessed 11 October 2026).</w:t>
      </w:r>
    </w:p>
    <w:p>
      <w:pPr>
        <w:spacing w:after="80" w:line="360"/>
        <w:ind w:left="360" w:hanging="360"/>
        <w:jc w:val="left"/>
      </w:pPr>
      <w:r>
        <w:rPr>
          <w:rFonts w:ascii="Times New Roman" w:cs="Times New Roman" w:eastAsia="Times New Roman" w:hAnsi="Times New Roman"/>
          <w:sz w:val="22"/>
          <w:szCs w:val="22"/>
        </w:rPr>
        <w:t xml:space="preserve">Energy Institute (2025) </w:t>
      </w:r>
      <w:r>
        <w:rPr>
          <w:rFonts w:ascii="Times New Roman" w:cs="Times New Roman" w:eastAsia="Times New Roman" w:hAnsi="Times New Roman"/>
          <w:i/>
          <w:iCs/>
          <w:sz w:val="22"/>
          <w:szCs w:val="22"/>
        </w:rPr>
        <w:t xml:space="preserve">Statistical Review of World Energy 2025</w:t>
      </w:r>
      <w:r>
        <w:rPr>
          <w:rFonts w:ascii="Times New Roman" w:cs="Times New Roman" w:eastAsia="Times New Roman" w:hAnsi="Times New Roman"/>
          <w:sz w:val="22"/>
          <w:szCs w:val="22"/>
        </w:rPr>
        <w:t xml:space="preserve">. London: Energy Institute.</w:t>
      </w:r>
    </w:p>
    <w:p>
      <w:pPr>
        <w:spacing w:after="80" w:line="360"/>
        <w:ind w:left="360" w:hanging="360"/>
        <w:jc w:val="left"/>
      </w:pPr>
      <w:r>
        <w:rPr>
          <w:rFonts w:ascii="Times New Roman" w:cs="Times New Roman" w:eastAsia="Times New Roman" w:hAnsi="Times New Roman"/>
          <w:sz w:val="22"/>
          <w:szCs w:val="22"/>
        </w:rPr>
        <w:t xml:space="preserve">Enterprise AM (2025) ‘Sohar Freezone inks land agreement for USD 565 mn solar cell plant’, </w:t>
      </w:r>
      <w:r>
        <w:rPr>
          <w:rFonts w:ascii="Times New Roman" w:cs="Times New Roman" w:eastAsia="Times New Roman" w:hAnsi="Times New Roman"/>
          <w:i/>
          <w:iCs/>
          <w:sz w:val="22"/>
          <w:szCs w:val="22"/>
        </w:rPr>
        <w:t xml:space="preserve">Enterprise AM</w:t>
      </w:r>
      <w:r>
        <w:rPr>
          <w:rFonts w:ascii="Times New Roman" w:cs="Times New Roman" w:eastAsia="Times New Roman" w:hAnsi="Times New Roman"/>
          <w:sz w:val="22"/>
          <w:szCs w:val="22"/>
        </w:rPr>
        <w:t xml:space="preserve">, 30 April.</w:t>
      </w:r>
    </w:p>
    <w:p>
      <w:pPr>
        <w:spacing w:after="80" w:line="360"/>
        <w:ind w:left="360" w:hanging="360"/>
        <w:jc w:val="left"/>
      </w:pPr>
      <w:r>
        <w:rPr>
          <w:rFonts w:ascii="Times New Roman" w:cs="Times New Roman" w:eastAsia="Times New Roman" w:hAnsi="Times New Roman"/>
          <w:sz w:val="22"/>
          <w:szCs w:val="22"/>
        </w:rPr>
        <w:t xml:space="preserve">European Union (2020) ‘Regulation (EU) 2020/852 of the European Parliament and of the Council of 18 June 2020 on the establishment of a framework to facilitate sustainable investment’, </w:t>
      </w:r>
      <w:r>
        <w:rPr>
          <w:rFonts w:ascii="Times New Roman" w:cs="Times New Roman" w:eastAsia="Times New Roman" w:hAnsi="Times New Roman"/>
          <w:i/>
          <w:iCs/>
          <w:sz w:val="22"/>
          <w:szCs w:val="22"/>
        </w:rPr>
        <w:t xml:space="preserve">Official Journal of the European Union</w:t>
      </w:r>
      <w:r>
        <w:rPr>
          <w:rFonts w:ascii="Times New Roman" w:cs="Times New Roman" w:eastAsia="Times New Roman" w:hAnsi="Times New Roman"/>
          <w:sz w:val="22"/>
          <w:szCs w:val="22"/>
        </w:rPr>
        <w:t xml:space="preserve">, L 198, pp. 13–43.</w:t>
      </w:r>
    </w:p>
    <w:p>
      <w:pPr>
        <w:spacing w:after="80" w:line="360"/>
        <w:ind w:left="360" w:hanging="360"/>
        <w:jc w:val="left"/>
      </w:pPr>
      <w:r>
        <w:rPr>
          <w:rFonts w:ascii="Times New Roman" w:cs="Times New Roman" w:eastAsia="Times New Roman" w:hAnsi="Times New Roman"/>
          <w:sz w:val="22"/>
          <w:szCs w:val="22"/>
        </w:rPr>
        <w:t xml:space="preserve">Eurostat (2021) </w:t>
      </w:r>
      <w:r>
        <w:rPr>
          <w:rFonts w:ascii="Times New Roman" w:cs="Times New Roman" w:eastAsia="Times New Roman" w:hAnsi="Times New Roman"/>
          <w:i/>
          <w:iCs/>
          <w:sz w:val="22"/>
          <w:szCs w:val="22"/>
        </w:rPr>
        <w:t xml:space="preserve">Energy Balance Guide: Methodology Guide for the Construction of Energy Balances</w:t>
      </w:r>
      <w:r>
        <w:rPr>
          <w:rFonts w:ascii="Times New Roman" w:cs="Times New Roman" w:eastAsia="Times New Roman" w:hAnsi="Times New Roman"/>
          <w:sz w:val="22"/>
          <w:szCs w:val="22"/>
        </w:rPr>
        <w:t xml:space="preserve">. Luxembourg: European Commission.</w:t>
      </w:r>
    </w:p>
    <w:p>
      <w:pPr>
        <w:spacing w:after="80" w:line="360"/>
        <w:ind w:left="360" w:hanging="360"/>
        <w:jc w:val="left"/>
      </w:pPr>
      <w:r>
        <w:rPr>
          <w:rFonts w:ascii="Times New Roman" w:cs="Times New Roman" w:eastAsia="Times New Roman" w:hAnsi="Times New Roman"/>
          <w:sz w:val="22"/>
          <w:szCs w:val="22"/>
        </w:rPr>
        <w:t xml:space="preserve">Fattouh, B. and El-Katiri, L. (2013) ‘Energy subsidies in the Middle East and North Africa’, </w:t>
      </w:r>
      <w:r>
        <w:rPr>
          <w:rFonts w:ascii="Times New Roman" w:cs="Times New Roman" w:eastAsia="Times New Roman" w:hAnsi="Times New Roman"/>
          <w:i/>
          <w:iCs/>
          <w:sz w:val="22"/>
          <w:szCs w:val="22"/>
        </w:rPr>
        <w:t xml:space="preserve">Energy Strategy Reviews</w:t>
      </w:r>
      <w:r>
        <w:rPr>
          <w:rFonts w:ascii="Times New Roman" w:cs="Times New Roman" w:eastAsia="Times New Roman" w:hAnsi="Times New Roman"/>
          <w:sz w:val="22"/>
          <w:szCs w:val="22"/>
        </w:rPr>
        <w:t xml:space="preserve">, 2(1), pp. 108–115. https://doi.org/10.1016/j.esr.2012.11.004</w:t>
      </w:r>
    </w:p>
    <w:p>
      <w:pPr>
        <w:spacing w:after="80" w:line="360"/>
        <w:ind w:left="360" w:hanging="360"/>
        <w:jc w:val="left"/>
      </w:pPr>
      <w:r>
        <w:rPr>
          <w:rFonts w:ascii="Times New Roman" w:cs="Times New Roman" w:eastAsia="Times New Roman" w:hAnsi="Times New Roman"/>
          <w:sz w:val="22"/>
          <w:szCs w:val="22"/>
        </w:rPr>
        <w:t xml:space="preserve">Geels, F.W. (2002) ‘Technological transitions as evolutionary reconfiguration processes: a multi-level perspective and a case-study’, </w:t>
      </w:r>
      <w:r>
        <w:rPr>
          <w:rFonts w:ascii="Times New Roman" w:cs="Times New Roman" w:eastAsia="Times New Roman" w:hAnsi="Times New Roman"/>
          <w:i/>
          <w:iCs/>
          <w:sz w:val="22"/>
          <w:szCs w:val="22"/>
        </w:rPr>
        <w:t xml:space="preserve">Research Policy</w:t>
      </w:r>
      <w:r>
        <w:rPr>
          <w:rFonts w:ascii="Times New Roman" w:cs="Times New Roman" w:eastAsia="Times New Roman" w:hAnsi="Times New Roman"/>
          <w:sz w:val="22"/>
          <w:szCs w:val="22"/>
        </w:rPr>
        <w:t xml:space="preserve">, 31(8–9), pp. 1257–1274. https://doi.org/10.1016/S0048-7333(02)00062-8</w:t>
      </w:r>
    </w:p>
    <w:p>
      <w:pPr>
        <w:spacing w:after="80" w:line="360"/>
        <w:ind w:left="360" w:hanging="360"/>
        <w:jc w:val="left"/>
      </w:pPr>
      <w:r>
        <w:rPr>
          <w:rFonts w:ascii="Times New Roman" w:cs="Times New Roman" w:eastAsia="Times New Roman" w:hAnsi="Times New Roman"/>
          <w:sz w:val="22"/>
          <w:szCs w:val="22"/>
        </w:rPr>
        <w:t xml:space="preserve">Gielen, D., Boshell, F., Saygin, D., Bazilian, M.D., Wagner, N. and Gorini, R. (2019) ‘The role of renewable energy in the global energy transformation’, </w:t>
      </w:r>
      <w:r>
        <w:rPr>
          <w:rFonts w:ascii="Times New Roman" w:cs="Times New Roman" w:eastAsia="Times New Roman" w:hAnsi="Times New Roman"/>
          <w:i/>
          <w:iCs/>
          <w:sz w:val="22"/>
          <w:szCs w:val="22"/>
        </w:rPr>
        <w:t xml:space="preserve">Energy Strategy Reviews</w:t>
      </w:r>
      <w:r>
        <w:rPr>
          <w:rFonts w:ascii="Times New Roman" w:cs="Times New Roman" w:eastAsia="Times New Roman" w:hAnsi="Times New Roman"/>
          <w:sz w:val="22"/>
          <w:szCs w:val="22"/>
        </w:rPr>
        <w:t xml:space="preserve">, 24, pp. 38–50. https://doi.org/10.1016/j.esr.2019.01.006</w:t>
      </w:r>
    </w:p>
    <w:p>
      <w:pPr>
        <w:spacing w:after="80" w:line="360"/>
        <w:ind w:left="360" w:hanging="360"/>
        <w:jc w:val="left"/>
      </w:pPr>
      <w:r>
        <w:rPr>
          <w:rFonts w:ascii="Times New Roman" w:cs="Times New Roman" w:eastAsia="Times New Roman" w:hAnsi="Times New Roman"/>
          <w:sz w:val="22"/>
          <w:szCs w:val="22"/>
        </w:rPr>
        <w:t xml:space="preserve">Goldthau, A. and Westphal, K. (2019) ‘Why the global energy transition does not mean the end of the petrostate’, </w:t>
      </w:r>
      <w:r>
        <w:rPr>
          <w:rFonts w:ascii="Times New Roman" w:cs="Times New Roman" w:eastAsia="Times New Roman" w:hAnsi="Times New Roman"/>
          <w:i/>
          <w:iCs/>
          <w:sz w:val="22"/>
          <w:szCs w:val="22"/>
        </w:rPr>
        <w:t xml:space="preserve">Global Policy</w:t>
      </w:r>
      <w:r>
        <w:rPr>
          <w:rFonts w:ascii="Times New Roman" w:cs="Times New Roman" w:eastAsia="Times New Roman" w:hAnsi="Times New Roman"/>
          <w:sz w:val="22"/>
          <w:szCs w:val="22"/>
        </w:rPr>
        <w:t xml:space="preserve">, 10(2), pp. 279–283. https://doi.org/10.1111/1758-5899.12649</w:t>
      </w:r>
    </w:p>
    <w:p>
      <w:pPr>
        <w:spacing w:after="80" w:line="360"/>
        <w:ind w:left="360" w:hanging="360"/>
        <w:jc w:val="left"/>
      </w:pPr>
      <w:r>
        <w:rPr>
          <w:rFonts w:ascii="Times New Roman" w:cs="Times New Roman" w:eastAsia="Times New Roman" w:hAnsi="Times New Roman"/>
          <w:sz w:val="22"/>
          <w:szCs w:val="22"/>
        </w:rPr>
        <w:t xml:space="preserve">Grossman, G.M. and Krueger, A.B. (1995) ‘Economic growth and the environment’, </w:t>
      </w:r>
      <w:r>
        <w:rPr>
          <w:rFonts w:ascii="Times New Roman" w:cs="Times New Roman" w:eastAsia="Times New Roman" w:hAnsi="Times New Roman"/>
          <w:i/>
          <w:iCs/>
          <w:sz w:val="22"/>
          <w:szCs w:val="22"/>
        </w:rPr>
        <w:t xml:space="preserve">The Quarterly Journal of Economics</w:t>
      </w:r>
      <w:r>
        <w:rPr>
          <w:rFonts w:ascii="Times New Roman" w:cs="Times New Roman" w:eastAsia="Times New Roman" w:hAnsi="Times New Roman"/>
          <w:sz w:val="22"/>
          <w:szCs w:val="22"/>
        </w:rPr>
        <w:t xml:space="preserve">, 110(2), pp. 353–377. https://doi.org/10.2307/2118443</w:t>
      </w:r>
    </w:p>
    <w:p>
      <w:pPr>
        <w:spacing w:after="80" w:line="360"/>
        <w:ind w:left="360" w:hanging="360"/>
        <w:jc w:val="left"/>
      </w:pPr>
      <w:r>
        <w:rPr>
          <w:rFonts w:ascii="Times New Roman" w:cs="Times New Roman" w:eastAsia="Times New Roman" w:hAnsi="Times New Roman"/>
          <w:sz w:val="22"/>
          <w:szCs w:val="22"/>
        </w:rPr>
        <w:t xml:space="preserve">Gulf News (2013) ‘Oman to double natural gas prices for some industrial users by 2015’, </w:t>
      </w:r>
      <w:r>
        <w:rPr>
          <w:rFonts w:ascii="Times New Roman" w:cs="Times New Roman" w:eastAsia="Times New Roman" w:hAnsi="Times New Roman"/>
          <w:i/>
          <w:iCs/>
          <w:sz w:val="22"/>
          <w:szCs w:val="22"/>
        </w:rPr>
        <w:t xml:space="preserve">Gulf News</w:t>
      </w:r>
      <w:r>
        <w:rPr>
          <w:rFonts w:ascii="Times New Roman" w:cs="Times New Roman" w:eastAsia="Times New Roman" w:hAnsi="Times New Roman"/>
          <w:sz w:val="22"/>
          <w:szCs w:val="22"/>
        </w:rPr>
        <w:t xml:space="preserve">.</w:t>
      </w:r>
    </w:p>
    <w:p>
      <w:pPr>
        <w:spacing w:after="80" w:line="360"/>
        <w:ind w:left="360" w:hanging="360"/>
        <w:jc w:val="left"/>
      </w:pPr>
      <w:r>
        <w:rPr>
          <w:rFonts w:ascii="Times New Roman" w:cs="Times New Roman" w:eastAsia="Times New Roman" w:hAnsi="Times New Roman"/>
          <w:sz w:val="22"/>
          <w:szCs w:val="22"/>
        </w:rPr>
        <w:t xml:space="preserve">Gulf News (2025) ‘Oman allocates $4.1b in 2025 budget to curb inflation, support essential services’, </w:t>
      </w:r>
      <w:r>
        <w:rPr>
          <w:rFonts w:ascii="Times New Roman" w:cs="Times New Roman" w:eastAsia="Times New Roman" w:hAnsi="Times New Roman"/>
          <w:i/>
          <w:iCs/>
          <w:sz w:val="22"/>
          <w:szCs w:val="22"/>
        </w:rPr>
        <w:t xml:space="preserve">Gulf News</w:t>
      </w:r>
      <w:r>
        <w:rPr>
          <w:rFonts w:ascii="Times New Roman" w:cs="Times New Roman" w:eastAsia="Times New Roman" w:hAnsi="Times New Roman"/>
          <w:sz w:val="22"/>
          <w:szCs w:val="22"/>
        </w:rPr>
        <w:t xml:space="preserve">.</w:t>
      </w:r>
    </w:p>
    <w:p>
      <w:pPr>
        <w:spacing w:after="80" w:line="360"/>
        <w:ind w:left="360" w:hanging="360"/>
        <w:jc w:val="left"/>
      </w:pPr>
      <w:r>
        <w:rPr>
          <w:rFonts w:ascii="Times New Roman" w:cs="Times New Roman" w:eastAsia="Times New Roman" w:hAnsi="Times New Roman"/>
          <w:sz w:val="22"/>
          <w:szCs w:val="22"/>
        </w:rPr>
        <w:t xml:space="preserve">Hirth, L. (2013) ‘The market value of variable renewables: the effect of solar wind power variability on their relative price’, </w:t>
      </w:r>
      <w:r>
        <w:rPr>
          <w:rFonts w:ascii="Times New Roman" w:cs="Times New Roman" w:eastAsia="Times New Roman" w:hAnsi="Times New Roman"/>
          <w:i/>
          <w:iCs/>
          <w:sz w:val="22"/>
          <w:szCs w:val="22"/>
        </w:rPr>
        <w:t xml:space="preserve">Energy Economics</w:t>
      </w:r>
      <w:r>
        <w:rPr>
          <w:rFonts w:ascii="Times New Roman" w:cs="Times New Roman" w:eastAsia="Times New Roman" w:hAnsi="Times New Roman"/>
          <w:sz w:val="22"/>
          <w:szCs w:val="22"/>
        </w:rPr>
        <w:t xml:space="preserve">, 38, pp. 218–236. https://doi.org/10.1016/j.eneco.2013.02.004</w:t>
      </w:r>
    </w:p>
    <w:p>
      <w:pPr>
        <w:spacing w:after="80" w:line="360"/>
        <w:ind w:left="360" w:hanging="360"/>
        <w:jc w:val="left"/>
      </w:pPr>
      <w:r>
        <w:rPr>
          <w:rFonts w:ascii="Times New Roman" w:cs="Times New Roman" w:eastAsia="Times New Roman" w:hAnsi="Times New Roman"/>
          <w:sz w:val="22"/>
          <w:szCs w:val="22"/>
        </w:rPr>
        <w:t xml:space="preserve">Hu, J.-L. and Wang, S.-C. (2006) ‘Total-factor energy efficiency of regions in China’, </w:t>
      </w:r>
      <w:r>
        <w:rPr>
          <w:rFonts w:ascii="Times New Roman" w:cs="Times New Roman" w:eastAsia="Times New Roman" w:hAnsi="Times New Roman"/>
          <w:i/>
          <w:iCs/>
          <w:sz w:val="22"/>
          <w:szCs w:val="22"/>
        </w:rPr>
        <w:t xml:space="preserve">Energy Policy</w:t>
      </w:r>
      <w:r>
        <w:rPr>
          <w:rFonts w:ascii="Times New Roman" w:cs="Times New Roman" w:eastAsia="Times New Roman" w:hAnsi="Times New Roman"/>
          <w:sz w:val="22"/>
          <w:szCs w:val="22"/>
        </w:rPr>
        <w:t xml:space="preserve">, 34(17), pp. 3206–3217. https://doi.org/10.1016/j.enpol.2005.06.015</w:t>
      </w:r>
    </w:p>
    <w:p>
      <w:pPr>
        <w:spacing w:after="80" w:line="360"/>
        <w:ind w:left="360" w:hanging="360"/>
        <w:jc w:val="left"/>
      </w:pPr>
      <w:r>
        <w:rPr>
          <w:rFonts w:ascii="Times New Roman" w:cs="Times New Roman" w:eastAsia="Times New Roman" w:hAnsi="Times New Roman"/>
          <w:sz w:val="22"/>
          <w:szCs w:val="22"/>
        </w:rPr>
        <w:t xml:space="preserve">IEA (2021) </w:t>
      </w:r>
      <w:r>
        <w:rPr>
          <w:rFonts w:ascii="Times New Roman" w:cs="Times New Roman" w:eastAsia="Times New Roman" w:hAnsi="Times New Roman"/>
          <w:i/>
          <w:iCs/>
          <w:sz w:val="22"/>
          <w:szCs w:val="22"/>
        </w:rPr>
        <w:t xml:space="preserve">The Role of Critical Minerals in Clean Energy Transitions</w:t>
      </w:r>
      <w:r>
        <w:rPr>
          <w:rFonts w:ascii="Times New Roman" w:cs="Times New Roman" w:eastAsia="Times New Roman" w:hAnsi="Times New Roman"/>
          <w:sz w:val="22"/>
          <w:szCs w:val="22"/>
        </w:rPr>
        <w:t xml:space="preserve">. Paris: International Energy Agency.</w:t>
      </w:r>
    </w:p>
    <w:p>
      <w:pPr>
        <w:spacing w:after="80" w:line="360"/>
        <w:ind w:left="360" w:hanging="360"/>
        <w:jc w:val="left"/>
      </w:pPr>
      <w:r>
        <w:rPr>
          <w:rFonts w:ascii="Times New Roman" w:cs="Times New Roman" w:eastAsia="Times New Roman" w:hAnsi="Times New Roman"/>
          <w:sz w:val="22"/>
          <w:szCs w:val="22"/>
        </w:rPr>
        <w:t xml:space="preserve">IEA (2023a) </w:t>
      </w:r>
      <w:r>
        <w:rPr>
          <w:rFonts w:ascii="Times New Roman" w:cs="Times New Roman" w:eastAsia="Times New Roman" w:hAnsi="Times New Roman"/>
          <w:i/>
          <w:iCs/>
          <w:sz w:val="22"/>
          <w:szCs w:val="22"/>
        </w:rPr>
        <w:t xml:space="preserve">World Energy Balances: Database Documentation</w:t>
      </w:r>
      <w:r>
        <w:rPr>
          <w:rFonts w:ascii="Times New Roman" w:cs="Times New Roman" w:eastAsia="Times New Roman" w:hAnsi="Times New Roman"/>
          <w:sz w:val="22"/>
          <w:szCs w:val="22"/>
        </w:rPr>
        <w:t xml:space="preserve">. Paris: International Energy Agency.</w:t>
      </w:r>
    </w:p>
    <w:p>
      <w:pPr>
        <w:spacing w:after="80" w:line="360"/>
        <w:ind w:left="360" w:hanging="360"/>
        <w:jc w:val="left"/>
      </w:pPr>
      <w:r>
        <w:rPr>
          <w:rFonts w:ascii="Times New Roman" w:cs="Times New Roman" w:eastAsia="Times New Roman" w:hAnsi="Times New Roman"/>
          <w:sz w:val="22"/>
          <w:szCs w:val="22"/>
        </w:rPr>
        <w:t xml:space="preserve">IEA (2023b) </w:t>
      </w:r>
      <w:r>
        <w:rPr>
          <w:rFonts w:ascii="Times New Roman" w:cs="Times New Roman" w:eastAsia="Times New Roman" w:hAnsi="Times New Roman"/>
          <w:i/>
          <w:iCs/>
          <w:sz w:val="22"/>
          <w:szCs w:val="22"/>
        </w:rPr>
        <w:t xml:space="preserve">Renewable Hydrogen from Oman: A Producer Economy in Transition</w:t>
      </w:r>
      <w:r>
        <w:rPr>
          <w:rFonts w:ascii="Times New Roman" w:cs="Times New Roman" w:eastAsia="Times New Roman" w:hAnsi="Times New Roman"/>
          <w:sz w:val="22"/>
          <w:szCs w:val="22"/>
        </w:rPr>
        <w:t xml:space="preserve">. Paris: International Energy Agency.</w:t>
      </w:r>
    </w:p>
    <w:p>
      <w:pPr>
        <w:spacing w:after="80" w:line="360"/>
        <w:ind w:left="360" w:hanging="360"/>
        <w:jc w:val="left"/>
      </w:pPr>
      <w:r>
        <w:rPr>
          <w:rFonts w:ascii="Times New Roman" w:cs="Times New Roman" w:eastAsia="Times New Roman" w:hAnsi="Times New Roman"/>
          <w:sz w:val="22"/>
          <w:szCs w:val="22"/>
        </w:rPr>
        <w:t xml:space="preserve">IMF (2024) ‘Oman: IMF staff concludes staff visit’, Press Release No. 24/154. Washington, DC: International Monetary Fund.</w:t>
      </w:r>
    </w:p>
    <w:p>
      <w:pPr>
        <w:spacing w:after="80" w:line="360"/>
        <w:ind w:left="360" w:hanging="360"/>
        <w:jc w:val="left"/>
      </w:pPr>
      <w:r>
        <w:rPr>
          <w:rFonts w:ascii="Times New Roman" w:cs="Times New Roman" w:eastAsia="Times New Roman" w:hAnsi="Times New Roman"/>
          <w:sz w:val="22"/>
          <w:szCs w:val="22"/>
        </w:rPr>
        <w:t xml:space="preserve">IPCC (2006) </w:t>
      </w:r>
      <w:r>
        <w:rPr>
          <w:rFonts w:ascii="Times New Roman" w:cs="Times New Roman" w:eastAsia="Times New Roman" w:hAnsi="Times New Roman"/>
          <w:i/>
          <w:iCs/>
          <w:sz w:val="22"/>
          <w:szCs w:val="22"/>
        </w:rPr>
        <w:t xml:space="preserve">2006 IPCC Guidelines for National Greenhouse Gas Inventories, Volume 2: Energy</w:t>
      </w:r>
      <w:r>
        <w:rPr>
          <w:rFonts w:ascii="Times New Roman" w:cs="Times New Roman" w:eastAsia="Times New Roman" w:hAnsi="Times New Roman"/>
          <w:sz w:val="22"/>
          <w:szCs w:val="22"/>
        </w:rPr>
        <w:t xml:space="preserve">. Eggleston, H.S., Buendia, L., Miwa, K., Ngara, T. and Tanabe, K. (eds). Hayama: Institute for Global Environmental Strategies.</w:t>
      </w:r>
    </w:p>
    <w:p>
      <w:pPr>
        <w:spacing w:after="80" w:line="360"/>
        <w:ind w:left="360" w:hanging="360"/>
        <w:jc w:val="left"/>
      </w:pPr>
      <w:r>
        <w:rPr>
          <w:rFonts w:ascii="Times New Roman" w:cs="Times New Roman" w:eastAsia="Times New Roman" w:hAnsi="Times New Roman"/>
          <w:sz w:val="22"/>
          <w:szCs w:val="22"/>
        </w:rPr>
        <w:t xml:space="preserve">Kaya, Y. and Yokobori, K. (eds) (1997) </w:t>
      </w:r>
      <w:r>
        <w:rPr>
          <w:rFonts w:ascii="Times New Roman" w:cs="Times New Roman" w:eastAsia="Times New Roman" w:hAnsi="Times New Roman"/>
          <w:i/>
          <w:iCs/>
          <w:sz w:val="22"/>
          <w:szCs w:val="22"/>
        </w:rPr>
        <w:t xml:space="preserve">Environment, Energy, and Economy: Strategies for Sustainability</w:t>
      </w:r>
      <w:r>
        <w:rPr>
          <w:rFonts w:ascii="Times New Roman" w:cs="Times New Roman" w:eastAsia="Times New Roman" w:hAnsi="Times New Roman"/>
          <w:sz w:val="22"/>
          <w:szCs w:val="22"/>
        </w:rPr>
        <w:t xml:space="preserve">. Tokyo: United Nations University Press.</w:t>
      </w:r>
    </w:p>
    <w:p>
      <w:pPr>
        <w:spacing w:after="80" w:line="360"/>
        <w:ind w:left="360" w:hanging="360"/>
        <w:jc w:val="left"/>
      </w:pPr>
      <w:r>
        <w:rPr>
          <w:rFonts w:ascii="Times New Roman" w:cs="Times New Roman" w:eastAsia="Times New Roman" w:hAnsi="Times New Roman"/>
          <w:sz w:val="22"/>
          <w:szCs w:val="22"/>
        </w:rPr>
        <w:t xml:space="preserve">Krane, J. (2019) </w:t>
      </w:r>
      <w:r>
        <w:rPr>
          <w:rFonts w:ascii="Times New Roman" w:cs="Times New Roman" w:eastAsia="Times New Roman" w:hAnsi="Times New Roman"/>
          <w:i/>
          <w:iCs/>
          <w:sz w:val="22"/>
          <w:szCs w:val="22"/>
        </w:rPr>
        <w:t xml:space="preserve">Energy Kingdoms: Oil and Political Survival in the Persian Gulf</w:t>
      </w:r>
      <w:r>
        <w:rPr>
          <w:rFonts w:ascii="Times New Roman" w:cs="Times New Roman" w:eastAsia="Times New Roman" w:hAnsi="Times New Roman"/>
          <w:sz w:val="22"/>
          <w:szCs w:val="22"/>
        </w:rPr>
        <w:t xml:space="preserve">. New York: Columbia University Press.</w:t>
      </w:r>
    </w:p>
    <w:p>
      <w:pPr>
        <w:spacing w:after="80" w:line="360"/>
        <w:ind w:left="360" w:hanging="360"/>
        <w:jc w:val="left"/>
      </w:pPr>
      <w:r>
        <w:rPr>
          <w:rFonts w:ascii="Times New Roman" w:cs="Times New Roman" w:eastAsia="Times New Roman" w:hAnsi="Times New Roman"/>
          <w:sz w:val="22"/>
          <w:szCs w:val="22"/>
        </w:rPr>
        <w:t xml:space="preserve">Kuunifaa, C.B., Dzamesi, S.K.A., Kabo-Bah, A.T., Domfeh, M.K., Tutu-Benefoh, D. and Sey, N.E.N. (2026) ‘The challenges of greenhouse gas emission reporting in emerging economies: lessons from Ghana’s energy sector’, </w:t>
      </w:r>
      <w:r>
        <w:rPr>
          <w:rFonts w:ascii="Times New Roman" w:cs="Times New Roman" w:eastAsia="Times New Roman" w:hAnsi="Times New Roman"/>
          <w:i/>
          <w:iCs/>
          <w:sz w:val="22"/>
          <w:szCs w:val="22"/>
        </w:rPr>
        <w:t xml:space="preserve">Energy and Climate Change</w:t>
      </w:r>
      <w:r>
        <w:rPr>
          <w:rFonts w:ascii="Times New Roman" w:cs="Times New Roman" w:eastAsia="Times New Roman" w:hAnsi="Times New Roman"/>
          <w:sz w:val="22"/>
          <w:szCs w:val="22"/>
        </w:rPr>
        <w:t xml:space="preserve">, 7, 100249. https://doi.org/10.1016/j.egycc.2026.100249</w:t>
      </w:r>
    </w:p>
    <w:p>
      <w:pPr>
        <w:spacing w:after="80" w:line="360"/>
        <w:ind w:left="360" w:hanging="360"/>
        <w:jc w:val="left"/>
      </w:pPr>
      <w:r>
        <w:rPr>
          <w:rFonts w:ascii="Times New Roman" w:cs="Times New Roman" w:eastAsia="Times New Roman" w:hAnsi="Times New Roman"/>
          <w:sz w:val="22"/>
          <w:szCs w:val="22"/>
        </w:rPr>
        <w:t xml:space="preserve">Lahn, G. and Stevens, P. (2011) </w:t>
      </w:r>
      <w:r>
        <w:rPr>
          <w:rFonts w:ascii="Times New Roman" w:cs="Times New Roman" w:eastAsia="Times New Roman" w:hAnsi="Times New Roman"/>
          <w:i/>
          <w:iCs/>
          <w:sz w:val="22"/>
          <w:szCs w:val="22"/>
        </w:rPr>
        <w:t xml:space="preserve">Burning Oil to Keep Cool: The Hidden Energy Crisis in Saudi Arabia</w:t>
      </w:r>
      <w:r>
        <w:rPr>
          <w:rFonts w:ascii="Times New Roman" w:cs="Times New Roman" w:eastAsia="Times New Roman" w:hAnsi="Times New Roman"/>
          <w:sz w:val="22"/>
          <w:szCs w:val="22"/>
        </w:rPr>
        <w:t xml:space="preserve">. London: Chatham House.</w:t>
      </w:r>
    </w:p>
    <w:p>
      <w:pPr>
        <w:spacing w:after="80" w:line="360"/>
        <w:ind w:left="360" w:hanging="360"/>
        <w:jc w:val="left"/>
      </w:pPr>
      <w:r>
        <w:rPr>
          <w:rFonts w:ascii="Times New Roman" w:cs="Times New Roman" w:eastAsia="Times New Roman" w:hAnsi="Times New Roman"/>
          <w:sz w:val="22"/>
          <w:szCs w:val="22"/>
        </w:rPr>
        <w:t xml:space="preserve">Leal-Arcas, R., Almashloum, S., Jazzar, R., Bin Saleh, N. and Almunifi, R. (2025) ‘Energy policy of Oman: pursuing decarbonization’, </w:t>
      </w:r>
      <w:r>
        <w:rPr>
          <w:rFonts w:ascii="Times New Roman" w:cs="Times New Roman" w:eastAsia="Times New Roman" w:hAnsi="Times New Roman"/>
          <w:i/>
          <w:iCs/>
          <w:sz w:val="22"/>
          <w:szCs w:val="22"/>
        </w:rPr>
        <w:t xml:space="preserve">Energies</w:t>
      </w:r>
      <w:r>
        <w:rPr>
          <w:rFonts w:ascii="Times New Roman" w:cs="Times New Roman" w:eastAsia="Times New Roman" w:hAnsi="Times New Roman"/>
          <w:sz w:val="22"/>
          <w:szCs w:val="22"/>
        </w:rPr>
        <w:t xml:space="preserve">, 18(5), 1270. https://doi.org/10.3390/en18051270</w:t>
      </w:r>
    </w:p>
    <w:p>
      <w:pPr>
        <w:spacing w:after="80" w:line="360"/>
        <w:ind w:left="360" w:hanging="360"/>
        <w:jc w:val="left"/>
      </w:pPr>
      <w:r>
        <w:rPr>
          <w:rFonts w:ascii="Times New Roman" w:cs="Times New Roman" w:eastAsia="Times New Roman" w:hAnsi="Times New Roman"/>
          <w:sz w:val="22"/>
          <w:szCs w:val="22"/>
        </w:rPr>
        <w:t xml:space="preserve">Lee, I., Park, J. and Moon, I. (2018) ‘Key issues and challenges on the liquefied natural gas (LNG) value chain: a review from the process systems engineering point-of-view’, </w:t>
      </w:r>
      <w:r>
        <w:rPr>
          <w:rFonts w:ascii="Times New Roman" w:cs="Times New Roman" w:eastAsia="Times New Roman" w:hAnsi="Times New Roman"/>
          <w:i/>
          <w:iCs/>
          <w:sz w:val="22"/>
          <w:szCs w:val="22"/>
        </w:rPr>
        <w:t xml:space="preserve">Industrial &amp; Engineering Chemistry Research</w:t>
      </w:r>
      <w:r>
        <w:rPr>
          <w:rFonts w:ascii="Times New Roman" w:cs="Times New Roman" w:eastAsia="Times New Roman" w:hAnsi="Times New Roman"/>
          <w:sz w:val="22"/>
          <w:szCs w:val="22"/>
        </w:rPr>
        <w:t xml:space="preserve">, 57(17), pp. 5805–5818. https://doi.org/10.1021/acs.iecr.7b03899</w:t>
      </w:r>
    </w:p>
    <w:p>
      <w:pPr>
        <w:spacing w:after="80" w:line="360"/>
        <w:ind w:left="360" w:hanging="360"/>
        <w:jc w:val="left"/>
      </w:pPr>
      <w:r>
        <w:rPr>
          <w:rFonts w:ascii="Times New Roman" w:cs="Times New Roman" w:eastAsia="Times New Roman" w:hAnsi="Times New Roman"/>
          <w:sz w:val="22"/>
          <w:szCs w:val="22"/>
        </w:rPr>
        <w:t xml:space="preserve">Liu, B., Shan, Y., Guan, Y., Davis, S.J., Hang, Y., Jing, L., Ji, X., Wang, W. and Hubacek, K. (2026) ‘Global combustion CO2 accounting neglects the origin of traded fossil fuels’, </w:t>
      </w:r>
      <w:r>
        <w:rPr>
          <w:rFonts w:ascii="Times New Roman" w:cs="Times New Roman" w:eastAsia="Times New Roman" w:hAnsi="Times New Roman"/>
          <w:i/>
          <w:iCs/>
          <w:sz w:val="22"/>
          <w:szCs w:val="22"/>
        </w:rPr>
        <w:t xml:space="preserve">Environmental Science &amp; Technology</w:t>
      </w:r>
      <w:r>
        <w:rPr>
          <w:rFonts w:ascii="Times New Roman" w:cs="Times New Roman" w:eastAsia="Times New Roman" w:hAnsi="Times New Roman"/>
          <w:sz w:val="22"/>
          <w:szCs w:val="22"/>
        </w:rPr>
        <w:t xml:space="preserve">, 60(36), pp. 25385–25396. https://doi.org/10.1021/acs.est.6c01630</w:t>
      </w:r>
    </w:p>
    <w:p>
      <w:pPr>
        <w:spacing w:after="80" w:line="360"/>
        <w:ind w:left="360" w:hanging="360"/>
        <w:jc w:val="left"/>
      </w:pPr>
      <w:r>
        <w:rPr>
          <w:rFonts w:ascii="Times New Roman" w:cs="Times New Roman" w:eastAsia="Times New Roman" w:hAnsi="Times New Roman"/>
          <w:sz w:val="22"/>
          <w:szCs w:val="22"/>
        </w:rPr>
        <w:t xml:space="preserve">Marzouk, O.A. (2024) ‘Portrait of the decarbonization and renewables penetration in Oman’s energy mix, motivated by Oman’s national green hydrogen plan’, </w:t>
      </w:r>
      <w:r>
        <w:rPr>
          <w:rFonts w:ascii="Times New Roman" w:cs="Times New Roman" w:eastAsia="Times New Roman" w:hAnsi="Times New Roman"/>
          <w:i/>
          <w:iCs/>
          <w:sz w:val="22"/>
          <w:szCs w:val="22"/>
        </w:rPr>
        <w:t xml:space="preserve">Energies</w:t>
      </w:r>
      <w:r>
        <w:rPr>
          <w:rFonts w:ascii="Times New Roman" w:cs="Times New Roman" w:eastAsia="Times New Roman" w:hAnsi="Times New Roman"/>
          <w:sz w:val="22"/>
          <w:szCs w:val="22"/>
        </w:rPr>
        <w:t xml:space="preserve">, 17(19), 4769. https://doi.org/10.3390/en17194769</w:t>
      </w:r>
    </w:p>
    <w:p>
      <w:pPr>
        <w:spacing w:after="80" w:line="360"/>
        <w:ind w:left="360" w:hanging="360"/>
        <w:jc w:val="left"/>
      </w:pPr>
      <w:r>
        <w:rPr>
          <w:rFonts w:ascii="Times New Roman" w:cs="Times New Roman" w:eastAsia="Times New Roman" w:hAnsi="Times New Roman"/>
          <w:sz w:val="22"/>
          <w:szCs w:val="22"/>
        </w:rPr>
        <w:t xml:space="preserve">Ministry of Finance (2025) ‘Oman’s GDP rises 1.7%’. Muscat: Ministry of Finance, Sultanate of Oman.</w:t>
      </w:r>
    </w:p>
    <w:p>
      <w:pPr>
        <w:spacing w:after="80" w:line="360"/>
        <w:ind w:left="360" w:hanging="360"/>
        <w:jc w:val="left"/>
      </w:pPr>
      <w:r>
        <w:rPr>
          <w:rFonts w:ascii="Times New Roman" w:cs="Times New Roman" w:eastAsia="Times New Roman" w:hAnsi="Times New Roman"/>
          <w:sz w:val="22"/>
          <w:szCs w:val="22"/>
        </w:rPr>
        <w:t xml:space="preserve">Mishrif, A. and Khan, A. (2023) ‘Clean energy transition through the sustainable exploration and use of lithium in Oman’, </w:t>
      </w:r>
      <w:r>
        <w:rPr>
          <w:rFonts w:ascii="Times New Roman" w:cs="Times New Roman" w:eastAsia="Times New Roman" w:hAnsi="Times New Roman"/>
          <w:i/>
          <w:iCs/>
          <w:sz w:val="22"/>
          <w:szCs w:val="22"/>
        </w:rPr>
        <w:t xml:space="preserve">Sustainability</w:t>
      </w:r>
      <w:r>
        <w:rPr>
          <w:rFonts w:ascii="Times New Roman" w:cs="Times New Roman" w:eastAsia="Times New Roman" w:hAnsi="Times New Roman"/>
          <w:sz w:val="22"/>
          <w:szCs w:val="22"/>
        </w:rPr>
        <w:t xml:space="preserve">, 15(20), 15173. https://doi.org/10.3390/su152015173</w:t>
      </w:r>
    </w:p>
    <w:p>
      <w:pPr>
        <w:spacing w:after="80" w:line="360"/>
        <w:ind w:left="360" w:hanging="360"/>
        <w:jc w:val="left"/>
      </w:pPr>
      <w:r>
        <w:rPr>
          <w:rFonts w:ascii="Times New Roman" w:cs="Times New Roman" w:eastAsia="Times New Roman" w:hAnsi="Times New Roman"/>
          <w:sz w:val="22"/>
          <w:szCs w:val="22"/>
        </w:rPr>
        <w:t xml:space="preserve">Mishrif, A. and Khan, A. (2024) ‘Non-industrial solar energy use, barriers, and readiness: case study of Oman’, </w:t>
      </w:r>
      <w:r>
        <w:rPr>
          <w:rFonts w:ascii="Times New Roman" w:cs="Times New Roman" w:eastAsia="Times New Roman" w:hAnsi="Times New Roman"/>
          <w:i/>
          <w:iCs/>
          <w:sz w:val="22"/>
          <w:szCs w:val="22"/>
        </w:rPr>
        <w:t xml:space="preserve">Energies</w:t>
      </w:r>
      <w:r>
        <w:rPr>
          <w:rFonts w:ascii="Times New Roman" w:cs="Times New Roman" w:eastAsia="Times New Roman" w:hAnsi="Times New Roman"/>
          <w:sz w:val="22"/>
          <w:szCs w:val="22"/>
        </w:rPr>
        <w:t xml:space="preserve">, 17(16), 3917. https://doi.org/10.3390/en17163917</w:t>
      </w:r>
    </w:p>
    <w:p>
      <w:pPr>
        <w:spacing w:after="80" w:line="360"/>
        <w:ind w:left="360" w:hanging="360"/>
        <w:jc w:val="left"/>
      </w:pPr>
      <w:r>
        <w:rPr>
          <w:rFonts w:ascii="Times New Roman" w:cs="Times New Roman" w:eastAsia="Times New Roman" w:hAnsi="Times New Roman"/>
          <w:sz w:val="22"/>
          <w:szCs w:val="22"/>
        </w:rPr>
        <w:t xml:space="preserve">Mondal, M.A.H., Hawila, D., Kennedy, S. and Mezher, T. (2016) ‘The GCC countries RE-readiness: strengths and gaps for development of renewable energy technologies’, </w:t>
      </w:r>
      <w:r>
        <w:rPr>
          <w:rFonts w:ascii="Times New Roman" w:cs="Times New Roman" w:eastAsia="Times New Roman" w:hAnsi="Times New Roman"/>
          <w:i/>
          <w:iCs/>
          <w:sz w:val="22"/>
          <w:szCs w:val="22"/>
        </w:rPr>
        <w:t xml:space="preserve">Renewable and Sustainable Energy Reviews</w:t>
      </w:r>
      <w:r>
        <w:rPr>
          <w:rFonts w:ascii="Times New Roman" w:cs="Times New Roman" w:eastAsia="Times New Roman" w:hAnsi="Times New Roman"/>
          <w:sz w:val="22"/>
          <w:szCs w:val="22"/>
        </w:rPr>
        <w:t xml:space="preserve">, 54, pp. 1114–1128. https://doi.org/10.1016/j.rser.2015.10.098</w:t>
      </w:r>
    </w:p>
    <w:p>
      <w:pPr>
        <w:spacing w:after="80" w:line="360"/>
        <w:ind w:left="360" w:hanging="360"/>
        <w:jc w:val="left"/>
      </w:pPr>
      <w:r>
        <w:rPr>
          <w:rFonts w:ascii="Times New Roman" w:cs="Times New Roman" w:eastAsia="Times New Roman" w:hAnsi="Times New Roman"/>
          <w:sz w:val="22"/>
          <w:szCs w:val="22"/>
        </w:rPr>
        <w:t xml:space="preserve">Nagovnak, P., Kienberger, T., Baumann, M., Binderbauer, P. and Vouk, T. (2022) ‘Improving the methodology of national energy balances to adapt to the energy transition’, </w:t>
      </w:r>
      <w:r>
        <w:rPr>
          <w:rFonts w:ascii="Times New Roman" w:cs="Times New Roman" w:eastAsia="Times New Roman" w:hAnsi="Times New Roman"/>
          <w:i/>
          <w:iCs/>
          <w:sz w:val="22"/>
          <w:szCs w:val="22"/>
        </w:rPr>
        <w:t xml:space="preserve">Energy Strategy Reviews</w:t>
      </w:r>
      <w:r>
        <w:rPr>
          <w:rFonts w:ascii="Times New Roman" w:cs="Times New Roman" w:eastAsia="Times New Roman" w:hAnsi="Times New Roman"/>
          <w:sz w:val="22"/>
          <w:szCs w:val="22"/>
        </w:rPr>
        <w:t xml:space="preserve">, 44, 100994. https://doi.org/10.1016/j.esr.2022.100994</w:t>
      </w:r>
    </w:p>
    <w:p>
      <w:pPr>
        <w:spacing w:after="80" w:line="360"/>
        <w:ind w:left="360" w:hanging="360"/>
        <w:jc w:val="left"/>
      </w:pPr>
      <w:r>
        <w:rPr>
          <w:rFonts w:ascii="Times New Roman" w:cs="Times New Roman" w:eastAsia="Times New Roman" w:hAnsi="Times New Roman"/>
          <w:sz w:val="22"/>
          <w:szCs w:val="22"/>
        </w:rPr>
        <w:t xml:space="preserve">NCSI (2026) </w:t>
      </w:r>
      <w:r>
        <w:rPr>
          <w:rFonts w:ascii="Times New Roman" w:cs="Times New Roman" w:eastAsia="Times New Roman" w:hAnsi="Times New Roman"/>
          <w:i/>
          <w:iCs/>
          <w:sz w:val="22"/>
          <w:szCs w:val="22"/>
        </w:rPr>
        <w:t xml:space="preserve">Statistical Year Book 2026</w:t>
      </w:r>
      <w:r>
        <w:rPr>
          <w:rFonts w:ascii="Times New Roman" w:cs="Times New Roman" w:eastAsia="Times New Roman" w:hAnsi="Times New Roman"/>
          <w:sz w:val="22"/>
          <w:szCs w:val="22"/>
        </w:rPr>
        <w:t xml:space="preserve">. Muscat: National Centre for Statistics and Information.</w:t>
      </w:r>
    </w:p>
    <w:p>
      <w:pPr>
        <w:spacing w:after="80" w:line="360"/>
        <w:ind w:left="360" w:hanging="360"/>
        <w:jc w:val="left"/>
      </w:pPr>
      <w:r>
        <w:rPr>
          <w:rFonts w:ascii="Times New Roman" w:cs="Times New Roman" w:eastAsia="Times New Roman" w:hAnsi="Times New Roman"/>
          <w:sz w:val="22"/>
          <w:szCs w:val="22"/>
        </w:rPr>
        <w:t xml:space="preserve">Neelis, M.L. and Pouwelse, J.W. (2008) ‘Towards consistent and reliable Dutch and international energy statistics for the chemical industry’, </w:t>
      </w:r>
      <w:r>
        <w:rPr>
          <w:rFonts w:ascii="Times New Roman" w:cs="Times New Roman" w:eastAsia="Times New Roman" w:hAnsi="Times New Roman"/>
          <w:i/>
          <w:iCs/>
          <w:sz w:val="22"/>
          <w:szCs w:val="22"/>
        </w:rPr>
        <w:t xml:space="preserve">Energy Policy</w:t>
      </w:r>
      <w:r>
        <w:rPr>
          <w:rFonts w:ascii="Times New Roman" w:cs="Times New Roman" w:eastAsia="Times New Roman" w:hAnsi="Times New Roman"/>
          <w:sz w:val="22"/>
          <w:szCs w:val="22"/>
        </w:rPr>
        <w:t xml:space="preserve">, 36(7), pp. 2719–2733. https://doi.org/10.1016/j.enpol.2008.03.024</w:t>
      </w:r>
    </w:p>
    <w:p>
      <w:pPr>
        <w:spacing w:after="80" w:line="360"/>
        <w:ind w:left="360" w:hanging="360"/>
        <w:jc w:val="left"/>
      </w:pPr>
      <w:r>
        <w:rPr>
          <w:rFonts w:ascii="Times New Roman" w:cs="Times New Roman" w:eastAsia="Times New Roman" w:hAnsi="Times New Roman"/>
          <w:sz w:val="22"/>
          <w:szCs w:val="22"/>
        </w:rPr>
        <w:t xml:space="preserve">OPWP (2024) </w:t>
      </w:r>
      <w:r>
        <w:rPr>
          <w:rFonts w:ascii="Times New Roman" w:cs="Times New Roman" w:eastAsia="Times New Roman" w:hAnsi="Times New Roman"/>
          <w:i/>
          <w:iCs/>
          <w:sz w:val="22"/>
          <w:szCs w:val="22"/>
        </w:rPr>
        <w:t xml:space="preserve">OPWP’s 7-Year Statement (2024–2030)</w:t>
      </w:r>
      <w:r>
        <w:rPr>
          <w:rFonts w:ascii="Times New Roman" w:cs="Times New Roman" w:eastAsia="Times New Roman" w:hAnsi="Times New Roman"/>
          <w:sz w:val="22"/>
          <w:szCs w:val="22"/>
        </w:rPr>
        <w:t xml:space="preserve">. Muscat: Oman Power and Water Procurement Company.</w:t>
      </w:r>
    </w:p>
    <w:p>
      <w:pPr>
        <w:spacing w:after="80" w:line="360"/>
        <w:ind w:left="360" w:hanging="360"/>
        <w:jc w:val="left"/>
      </w:pPr>
      <w:r>
        <w:rPr>
          <w:rFonts w:ascii="Times New Roman" w:cs="Times New Roman" w:eastAsia="Times New Roman" w:hAnsi="Times New Roman"/>
          <w:sz w:val="22"/>
          <w:szCs w:val="22"/>
        </w:rPr>
        <w:t xml:space="preserve">Our World in Data (2026) </w:t>
      </w:r>
      <w:r>
        <w:rPr>
          <w:rFonts w:ascii="Times New Roman" w:cs="Times New Roman" w:eastAsia="Times New Roman" w:hAnsi="Times New Roman"/>
          <w:i/>
          <w:iCs/>
          <w:sz w:val="22"/>
          <w:szCs w:val="22"/>
        </w:rPr>
        <w:t xml:space="preserve">CO₂ and Greenhouse Gas Emissions Dataset</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Energy Dataset</w:t>
      </w:r>
      <w:r>
        <w:rPr>
          <w:rFonts w:ascii="Times New Roman" w:cs="Times New Roman" w:eastAsia="Times New Roman" w:hAnsi="Times New Roman"/>
          <w:sz w:val="22"/>
          <w:szCs w:val="22"/>
        </w:rPr>
        <w:t xml:space="preserve"> (compiled from the Global Carbon Project, Energy Institute and Ember). Available at: https://github.com/owid (accessed 11 October 2026).</w:t>
      </w:r>
    </w:p>
    <w:p>
      <w:pPr>
        <w:spacing w:after="80" w:line="360"/>
        <w:ind w:left="360" w:hanging="360"/>
        <w:jc w:val="left"/>
      </w:pPr>
      <w:r>
        <w:rPr>
          <w:rFonts w:ascii="Times New Roman" w:cs="Times New Roman" w:eastAsia="Times New Roman" w:hAnsi="Times New Roman"/>
          <w:sz w:val="22"/>
          <w:szCs w:val="22"/>
        </w:rPr>
        <w:t xml:space="preserve">Patterson, M.G. (1996) ‘What is energy efficiency? Concepts, indicators and methodological issues’, </w:t>
      </w:r>
      <w:r>
        <w:rPr>
          <w:rFonts w:ascii="Times New Roman" w:cs="Times New Roman" w:eastAsia="Times New Roman" w:hAnsi="Times New Roman"/>
          <w:i/>
          <w:iCs/>
          <w:sz w:val="22"/>
          <w:szCs w:val="22"/>
        </w:rPr>
        <w:t xml:space="preserve">Energy Policy</w:t>
      </w:r>
      <w:r>
        <w:rPr>
          <w:rFonts w:ascii="Times New Roman" w:cs="Times New Roman" w:eastAsia="Times New Roman" w:hAnsi="Times New Roman"/>
          <w:sz w:val="22"/>
          <w:szCs w:val="22"/>
        </w:rPr>
        <w:t xml:space="preserve">, 24(5), pp. 377–390. https://doi.org/10.1016/0301-4215(96)00017-1</w:t>
      </w:r>
    </w:p>
    <w:p>
      <w:pPr>
        <w:spacing w:after="80" w:line="360"/>
        <w:ind w:left="360" w:hanging="360"/>
        <w:jc w:val="left"/>
      </w:pPr>
      <w:r>
        <w:rPr>
          <w:rFonts w:ascii="Times New Roman" w:cs="Times New Roman" w:eastAsia="Times New Roman" w:hAnsi="Times New Roman"/>
          <w:sz w:val="22"/>
          <w:szCs w:val="22"/>
        </w:rPr>
        <w:t xml:space="preserve">Praveen, R.P., Keloth, V., Abo-Khalil, A.G., Alghamdi, A.S., Eltamaly, A.M. and Tlili, I. (2020) ‘An insight to the energy policy of GCC countries to meet renewable energy targets of 2030’, </w:t>
      </w:r>
      <w:r>
        <w:rPr>
          <w:rFonts w:ascii="Times New Roman" w:cs="Times New Roman" w:eastAsia="Times New Roman" w:hAnsi="Times New Roman"/>
          <w:i/>
          <w:iCs/>
          <w:sz w:val="22"/>
          <w:szCs w:val="22"/>
        </w:rPr>
        <w:t xml:space="preserve">Energy Policy</w:t>
      </w:r>
      <w:r>
        <w:rPr>
          <w:rFonts w:ascii="Times New Roman" w:cs="Times New Roman" w:eastAsia="Times New Roman" w:hAnsi="Times New Roman"/>
          <w:sz w:val="22"/>
          <w:szCs w:val="22"/>
        </w:rPr>
        <w:t xml:space="preserve">, 147, 111864. https://doi.org/10.1016/j.enpol.2020.111864</w:t>
      </w:r>
    </w:p>
    <w:p>
      <w:pPr>
        <w:spacing w:after="80" w:line="360"/>
        <w:ind w:left="360" w:hanging="360"/>
        <w:jc w:val="left"/>
      </w:pPr>
      <w:r>
        <w:rPr>
          <w:rFonts w:ascii="Times New Roman" w:cs="Times New Roman" w:eastAsia="Times New Roman" w:hAnsi="Times New Roman"/>
          <w:sz w:val="22"/>
          <w:szCs w:val="22"/>
        </w:rPr>
        <w:t xml:space="preserve">pv magazine (2024) ‘JA Solar to invest in solar manufacturing hub in Oman’, </w:t>
      </w:r>
      <w:r>
        <w:rPr>
          <w:rFonts w:ascii="Times New Roman" w:cs="Times New Roman" w:eastAsia="Times New Roman" w:hAnsi="Times New Roman"/>
          <w:i/>
          <w:iCs/>
          <w:sz w:val="22"/>
          <w:szCs w:val="22"/>
        </w:rPr>
        <w:t xml:space="preserve">pv magazine</w:t>
      </w:r>
      <w:r>
        <w:rPr>
          <w:rFonts w:ascii="Times New Roman" w:cs="Times New Roman" w:eastAsia="Times New Roman" w:hAnsi="Times New Roman"/>
          <w:sz w:val="22"/>
          <w:szCs w:val="22"/>
        </w:rPr>
        <w:t xml:space="preserve">, 24 December.</w:t>
      </w:r>
    </w:p>
    <w:p>
      <w:pPr>
        <w:spacing w:after="80" w:line="360"/>
        <w:ind w:left="360" w:hanging="360"/>
        <w:jc w:val="left"/>
      </w:pPr>
      <w:r>
        <w:rPr>
          <w:rFonts w:ascii="Times New Roman" w:cs="Times New Roman" w:eastAsia="Times New Roman" w:hAnsi="Times New Roman"/>
          <w:sz w:val="22"/>
          <w:szCs w:val="22"/>
        </w:rPr>
        <w:t xml:space="preserve">Salahuddin, M. and Gow, J. (2014) ‘Economic growth, energy consumption and CO2 emissions in Gulf Cooperation Council countries’, </w:t>
      </w:r>
      <w:r>
        <w:rPr>
          <w:rFonts w:ascii="Times New Roman" w:cs="Times New Roman" w:eastAsia="Times New Roman" w:hAnsi="Times New Roman"/>
          <w:i/>
          <w:iCs/>
          <w:sz w:val="22"/>
          <w:szCs w:val="22"/>
        </w:rPr>
        <w:t xml:space="preserve">Energy</w:t>
      </w:r>
      <w:r>
        <w:rPr>
          <w:rFonts w:ascii="Times New Roman" w:cs="Times New Roman" w:eastAsia="Times New Roman" w:hAnsi="Times New Roman"/>
          <w:sz w:val="22"/>
          <w:szCs w:val="22"/>
        </w:rPr>
        <w:t xml:space="preserve">, 73, pp. 44–58. https://doi.org/10.1016/j.energy.2014.05.054</w:t>
      </w:r>
    </w:p>
    <w:p>
      <w:pPr>
        <w:spacing w:after="80" w:line="360"/>
        <w:ind w:left="360" w:hanging="360"/>
        <w:jc w:val="left"/>
      </w:pPr>
      <w:r>
        <w:rPr>
          <w:rFonts w:ascii="Times New Roman" w:cs="Times New Roman" w:eastAsia="Times New Roman" w:hAnsi="Times New Roman"/>
          <w:sz w:val="22"/>
          <w:szCs w:val="22"/>
        </w:rPr>
        <w:t xml:space="preserve">Siler-Evans, K., Azevedo, I.L. and Morgan, M.G. (2012) ‘Marginal emissions factors for the U.S. electricity system’, </w:t>
      </w:r>
      <w:r>
        <w:rPr>
          <w:rFonts w:ascii="Times New Roman" w:cs="Times New Roman" w:eastAsia="Times New Roman" w:hAnsi="Times New Roman"/>
          <w:i/>
          <w:iCs/>
          <w:sz w:val="22"/>
          <w:szCs w:val="22"/>
        </w:rPr>
        <w:t xml:space="preserve">Environmental Science &amp; Technology</w:t>
      </w:r>
      <w:r>
        <w:rPr>
          <w:rFonts w:ascii="Times New Roman" w:cs="Times New Roman" w:eastAsia="Times New Roman" w:hAnsi="Times New Roman"/>
          <w:sz w:val="22"/>
          <w:szCs w:val="22"/>
        </w:rPr>
        <w:t xml:space="preserve">, 46(9), pp. 4742–4748. https://doi.org/10.1021/es300145v</w:t>
      </w:r>
    </w:p>
    <w:p>
      <w:pPr>
        <w:spacing w:after="80" w:line="360"/>
        <w:ind w:left="360" w:hanging="360"/>
        <w:jc w:val="left"/>
      </w:pPr>
      <w:r>
        <w:rPr>
          <w:rFonts w:ascii="Times New Roman" w:cs="Times New Roman" w:eastAsia="Times New Roman" w:hAnsi="Times New Roman"/>
          <w:sz w:val="22"/>
          <w:szCs w:val="22"/>
        </w:rPr>
        <w:t xml:space="preserve">Sovacool, B.K. (2016) ‘How long will it take? Conceptualizing the temporal dynamics of energy transitions’, </w:t>
      </w:r>
      <w:r>
        <w:rPr>
          <w:rFonts w:ascii="Times New Roman" w:cs="Times New Roman" w:eastAsia="Times New Roman" w:hAnsi="Times New Roman"/>
          <w:i/>
          <w:iCs/>
          <w:sz w:val="22"/>
          <w:szCs w:val="22"/>
        </w:rPr>
        <w:t xml:space="preserve">Energy Research &amp; Social Science</w:t>
      </w:r>
      <w:r>
        <w:rPr>
          <w:rFonts w:ascii="Times New Roman" w:cs="Times New Roman" w:eastAsia="Times New Roman" w:hAnsi="Times New Roman"/>
          <w:sz w:val="22"/>
          <w:szCs w:val="22"/>
        </w:rPr>
        <w:t xml:space="preserve">, 13, pp. 202–215. https://doi.org/10.1016/j.erss.2015.12.020</w:t>
      </w:r>
    </w:p>
    <w:p>
      <w:pPr>
        <w:spacing w:after="80" w:line="360"/>
        <w:ind w:left="360" w:hanging="360"/>
        <w:jc w:val="left"/>
      </w:pPr>
      <w:r>
        <w:rPr>
          <w:rFonts w:ascii="Times New Roman" w:cs="Times New Roman" w:eastAsia="Times New Roman" w:hAnsi="Times New Roman"/>
          <w:sz w:val="22"/>
          <w:szCs w:val="22"/>
        </w:rPr>
        <w:t xml:space="preserve">Sovacool, B.K. and Mukherjee, I. (2011) ‘Conceptualizing and measuring energy security: a synthesized approach’, </w:t>
      </w:r>
      <w:r>
        <w:rPr>
          <w:rFonts w:ascii="Times New Roman" w:cs="Times New Roman" w:eastAsia="Times New Roman" w:hAnsi="Times New Roman"/>
          <w:i/>
          <w:iCs/>
          <w:sz w:val="22"/>
          <w:szCs w:val="22"/>
        </w:rPr>
        <w:t xml:space="preserve">Energy</w:t>
      </w:r>
      <w:r>
        <w:rPr>
          <w:rFonts w:ascii="Times New Roman" w:cs="Times New Roman" w:eastAsia="Times New Roman" w:hAnsi="Times New Roman"/>
          <w:sz w:val="22"/>
          <w:szCs w:val="22"/>
        </w:rPr>
        <w:t xml:space="preserve">, 36(8), pp. 5343–5355. https://doi.org/10.1016/j.energy.2011.06.043</w:t>
      </w:r>
    </w:p>
    <w:p>
      <w:pPr>
        <w:spacing w:after="80" w:line="360"/>
        <w:ind w:left="360" w:hanging="360"/>
        <w:jc w:val="left"/>
      </w:pPr>
      <w:r>
        <w:rPr>
          <w:rFonts w:ascii="Times New Roman" w:cs="Times New Roman" w:eastAsia="Times New Roman" w:hAnsi="Times New Roman"/>
          <w:sz w:val="22"/>
          <w:szCs w:val="22"/>
        </w:rPr>
        <w:t xml:space="preserve">Stern, D.I. (2004) ‘The rise and fall of the environmental Kuznets curve’, </w:t>
      </w:r>
      <w:r>
        <w:rPr>
          <w:rFonts w:ascii="Times New Roman" w:cs="Times New Roman" w:eastAsia="Times New Roman" w:hAnsi="Times New Roman"/>
          <w:i/>
          <w:iCs/>
          <w:sz w:val="22"/>
          <w:szCs w:val="22"/>
        </w:rPr>
        <w:t xml:space="preserve">World Development</w:t>
      </w:r>
      <w:r>
        <w:rPr>
          <w:rFonts w:ascii="Times New Roman" w:cs="Times New Roman" w:eastAsia="Times New Roman" w:hAnsi="Times New Roman"/>
          <w:sz w:val="22"/>
          <w:szCs w:val="22"/>
        </w:rPr>
        <w:t xml:space="preserve">, 32(8), pp. 1419–1439. https://doi.org/10.1016/j.worlddev.2004.03.004</w:t>
      </w:r>
    </w:p>
    <w:p>
      <w:pPr>
        <w:spacing w:after="80" w:line="360"/>
        <w:ind w:left="360" w:hanging="360"/>
        <w:jc w:val="left"/>
      </w:pPr>
      <w:r>
        <w:rPr>
          <w:rFonts w:ascii="Times New Roman" w:cs="Times New Roman" w:eastAsia="Times New Roman" w:hAnsi="Times New Roman"/>
          <w:sz w:val="22"/>
          <w:szCs w:val="22"/>
        </w:rPr>
        <w:t xml:space="preserve">Sultanate of Oman (2020) </w:t>
      </w:r>
      <w:r>
        <w:rPr>
          <w:rFonts w:ascii="Times New Roman" w:cs="Times New Roman" w:eastAsia="Times New Roman" w:hAnsi="Times New Roman"/>
          <w:i/>
          <w:iCs/>
          <w:sz w:val="22"/>
          <w:szCs w:val="22"/>
        </w:rPr>
        <w:t xml:space="preserve">Oman Vision 2040</w:t>
      </w:r>
      <w:r>
        <w:rPr>
          <w:rFonts w:ascii="Times New Roman" w:cs="Times New Roman" w:eastAsia="Times New Roman" w:hAnsi="Times New Roman"/>
          <w:sz w:val="22"/>
          <w:szCs w:val="22"/>
        </w:rPr>
        <w:t xml:space="preserve">. Muscat: Oman Vision 2040 Implementation Follow-up Unit.</w:t>
      </w:r>
    </w:p>
    <w:p>
      <w:pPr>
        <w:spacing w:after="80" w:line="360"/>
        <w:ind w:left="360" w:hanging="360"/>
        <w:jc w:val="left"/>
      </w:pPr>
      <w:r>
        <w:rPr>
          <w:rFonts w:ascii="Times New Roman" w:cs="Times New Roman" w:eastAsia="Times New Roman" w:hAnsi="Times New Roman"/>
          <w:sz w:val="22"/>
          <w:szCs w:val="22"/>
        </w:rPr>
        <w:t xml:space="preserve">Sultanate of Oman (2021) </w:t>
      </w:r>
      <w:r>
        <w:rPr>
          <w:rFonts w:ascii="Times New Roman" w:cs="Times New Roman" w:eastAsia="Times New Roman" w:hAnsi="Times New Roman"/>
          <w:i/>
          <w:iCs/>
          <w:sz w:val="22"/>
          <w:szCs w:val="22"/>
        </w:rPr>
        <w:t xml:space="preserve">Second Nationally Determined Contribution</w:t>
      </w:r>
      <w:r>
        <w:rPr>
          <w:rFonts w:ascii="Times New Roman" w:cs="Times New Roman" w:eastAsia="Times New Roman" w:hAnsi="Times New Roman"/>
          <w:sz w:val="22"/>
          <w:szCs w:val="22"/>
        </w:rPr>
        <w:t xml:space="preserve">. Bonn: UNFCCC.</w:t>
      </w:r>
    </w:p>
    <w:p>
      <w:pPr>
        <w:spacing w:after="80" w:line="360"/>
        <w:ind w:left="360" w:hanging="360"/>
        <w:jc w:val="left"/>
      </w:pPr>
      <w:r>
        <w:rPr>
          <w:rFonts w:ascii="Times New Roman" w:cs="Times New Roman" w:eastAsia="Times New Roman" w:hAnsi="Times New Roman"/>
          <w:sz w:val="22"/>
          <w:szCs w:val="22"/>
        </w:rPr>
        <w:t xml:space="preserve">Szalai, M., Shamieh, R. and Colombo, M. (2025) </w:t>
      </w:r>
      <w:r>
        <w:rPr>
          <w:rFonts w:ascii="Times New Roman" w:cs="Times New Roman" w:eastAsia="Times New Roman" w:hAnsi="Times New Roman"/>
          <w:i/>
          <w:iCs/>
          <w:sz w:val="22"/>
          <w:szCs w:val="22"/>
        </w:rPr>
        <w:t xml:space="preserve">Cutting through the Green Hype: The Political Economy of Renewable Energy in the UAE and Oman</w:t>
      </w:r>
      <w:r>
        <w:rPr>
          <w:rFonts w:ascii="Times New Roman" w:cs="Times New Roman" w:eastAsia="Times New Roman" w:hAnsi="Times New Roman"/>
          <w:sz w:val="22"/>
          <w:szCs w:val="22"/>
        </w:rPr>
        <w:t xml:space="preserve">. The Hague: Clingendael Institute.</w:t>
      </w:r>
    </w:p>
    <w:p>
      <w:pPr>
        <w:spacing w:after="80" w:line="360"/>
        <w:ind w:left="360" w:hanging="360"/>
        <w:jc w:val="left"/>
      </w:pPr>
      <w:r>
        <w:rPr>
          <w:rFonts w:ascii="Times New Roman" w:cs="Times New Roman" w:eastAsia="Times New Roman" w:hAnsi="Times New Roman"/>
          <w:sz w:val="22"/>
          <w:szCs w:val="22"/>
        </w:rPr>
        <w:t xml:space="preserve">Szklo, A. and Schaeffer, R. (2007) ‘Fuel specification, energy consumption and CO2 emission in oil refineries’, </w:t>
      </w:r>
      <w:r>
        <w:rPr>
          <w:rFonts w:ascii="Times New Roman" w:cs="Times New Roman" w:eastAsia="Times New Roman" w:hAnsi="Times New Roman"/>
          <w:i/>
          <w:iCs/>
          <w:sz w:val="22"/>
          <w:szCs w:val="22"/>
        </w:rPr>
        <w:t xml:space="preserve">Energy</w:t>
      </w:r>
      <w:r>
        <w:rPr>
          <w:rFonts w:ascii="Times New Roman" w:cs="Times New Roman" w:eastAsia="Times New Roman" w:hAnsi="Times New Roman"/>
          <w:sz w:val="22"/>
          <w:szCs w:val="22"/>
        </w:rPr>
        <w:t xml:space="preserve">, 32(7), pp. 1075–1092. https://doi.org/10.1016/j.energy.2006.08.008</w:t>
      </w:r>
    </w:p>
    <w:p>
      <w:pPr>
        <w:spacing w:after="80" w:line="360"/>
        <w:ind w:left="360" w:hanging="360"/>
        <w:jc w:val="left"/>
      </w:pPr>
      <w:r>
        <w:rPr>
          <w:rFonts w:ascii="Times New Roman" w:cs="Times New Roman" w:eastAsia="Times New Roman" w:hAnsi="Times New Roman"/>
          <w:sz w:val="22"/>
          <w:szCs w:val="22"/>
        </w:rPr>
        <w:t xml:space="preserve">Tanaka, K. (2008) ‘Assessment of energy efficiency performance measures in industry and their application for policy’, </w:t>
      </w:r>
      <w:r>
        <w:rPr>
          <w:rFonts w:ascii="Times New Roman" w:cs="Times New Roman" w:eastAsia="Times New Roman" w:hAnsi="Times New Roman"/>
          <w:i/>
          <w:iCs/>
          <w:sz w:val="22"/>
          <w:szCs w:val="22"/>
        </w:rPr>
        <w:t xml:space="preserve">Energy Policy</w:t>
      </w:r>
      <w:r>
        <w:rPr>
          <w:rFonts w:ascii="Times New Roman" w:cs="Times New Roman" w:eastAsia="Times New Roman" w:hAnsi="Times New Roman"/>
          <w:sz w:val="22"/>
          <w:szCs w:val="22"/>
        </w:rPr>
        <w:t xml:space="preserve">, 36(8), pp. 2887–2902. https://doi.org/10.1016/j.enpol.2008.03.032</w:t>
      </w:r>
    </w:p>
    <w:p>
      <w:pPr>
        <w:spacing w:after="80" w:line="360"/>
        <w:ind w:left="360" w:hanging="360"/>
        <w:jc w:val="left"/>
      </w:pPr>
      <w:r>
        <w:rPr>
          <w:rFonts w:ascii="Times New Roman" w:cs="Times New Roman" w:eastAsia="Times New Roman" w:hAnsi="Times New Roman"/>
          <w:sz w:val="22"/>
          <w:szCs w:val="22"/>
        </w:rPr>
        <w:t xml:space="preserve">UN (2011) </w:t>
      </w:r>
      <w:r>
        <w:rPr>
          <w:rFonts w:ascii="Times New Roman" w:cs="Times New Roman" w:eastAsia="Times New Roman" w:hAnsi="Times New Roman"/>
          <w:i/>
          <w:iCs/>
          <w:sz w:val="22"/>
          <w:szCs w:val="22"/>
        </w:rPr>
        <w:t xml:space="preserve">International Merchandise Trade Statistics: Concepts and Definitions 2010</w:t>
      </w:r>
      <w:r>
        <w:rPr>
          <w:rFonts w:ascii="Times New Roman" w:cs="Times New Roman" w:eastAsia="Times New Roman" w:hAnsi="Times New Roman"/>
          <w:sz w:val="22"/>
          <w:szCs w:val="22"/>
        </w:rPr>
        <w:t xml:space="preserve">. Statistical Papers, Series M, No. 52, Rev. 3. New York: United Nations.</w:t>
      </w:r>
    </w:p>
    <w:p>
      <w:pPr>
        <w:spacing w:after="80" w:line="360"/>
        <w:ind w:left="360" w:hanging="360"/>
        <w:jc w:val="left"/>
      </w:pPr>
      <w:r>
        <w:rPr>
          <w:rFonts w:ascii="Times New Roman" w:cs="Times New Roman" w:eastAsia="Times New Roman" w:hAnsi="Times New Roman"/>
          <w:sz w:val="22"/>
          <w:szCs w:val="22"/>
        </w:rPr>
        <w:t xml:space="preserve">UNSD (2018) </w:t>
      </w:r>
      <w:r>
        <w:rPr>
          <w:rFonts w:ascii="Times New Roman" w:cs="Times New Roman" w:eastAsia="Times New Roman" w:hAnsi="Times New Roman"/>
          <w:i/>
          <w:iCs/>
          <w:sz w:val="22"/>
          <w:szCs w:val="22"/>
        </w:rPr>
        <w:t xml:space="preserve">International Recommendations for Energy Statistics (IRES)</w:t>
      </w:r>
      <w:r>
        <w:rPr>
          <w:rFonts w:ascii="Times New Roman" w:cs="Times New Roman" w:eastAsia="Times New Roman" w:hAnsi="Times New Roman"/>
          <w:sz w:val="22"/>
          <w:szCs w:val="22"/>
        </w:rPr>
        <w:t xml:space="preserve">. Statistical Papers, Series M, No. 93. New York: United Nations.</w:t>
      </w:r>
    </w:p>
    <w:p>
      <w:pPr>
        <w:spacing w:after="80" w:line="360"/>
        <w:ind w:left="360" w:hanging="360"/>
        <w:jc w:val="left"/>
      </w:pPr>
      <w:r>
        <w:rPr>
          <w:rFonts w:ascii="Times New Roman" w:cs="Times New Roman" w:eastAsia="Times New Roman" w:hAnsi="Times New Roman"/>
          <w:sz w:val="22"/>
          <w:szCs w:val="22"/>
        </w:rPr>
        <w:t xml:space="preserve">Venkatachalam, S.D., Al Nadabi, A., Al Shukaili, A.A., Al Hinai, A.S., Al Shuaili, A.S. and Al Shukaili, I.S. (2025) ‘Performance and suitability analysis of rooftop solar PV in Oman: a case study of university branches’, </w:t>
      </w:r>
      <w:r>
        <w:rPr>
          <w:rFonts w:ascii="Times New Roman" w:cs="Times New Roman" w:eastAsia="Times New Roman" w:hAnsi="Times New Roman"/>
          <w:i/>
          <w:iCs/>
          <w:sz w:val="22"/>
          <w:szCs w:val="22"/>
        </w:rPr>
        <w:t xml:space="preserve">Heliyon</w:t>
      </w:r>
      <w:r>
        <w:rPr>
          <w:rFonts w:ascii="Times New Roman" w:cs="Times New Roman" w:eastAsia="Times New Roman" w:hAnsi="Times New Roman"/>
          <w:sz w:val="22"/>
          <w:szCs w:val="22"/>
        </w:rPr>
        <w:t xml:space="preserve">, 11, e42578. https://doi.org/10.1016/j.heliyon.2025.e42578</w:t>
      </w:r>
    </w:p>
    <w:p>
      <w:r>
        <w:br w:type="page"/>
      </w:r>
    </w:p>
    <w:p>
      <w:pPr>
        <w:pStyle w:val="Heading1"/>
        <w:keepNext/>
        <w:spacing w:after="0" w:before="240" w:line="480"/>
      </w:pPr>
      <w:r>
        <w:rPr>
          <w:rFonts w:ascii="Times New Roman" w:cs="Times New Roman" w:eastAsia="Times New Roman" w:hAnsi="Times New Roman"/>
          <w:b/>
          <w:bCs/>
          <w:i w:val="false"/>
          <w:iCs w:val="false"/>
          <w:sz w:val="26"/>
          <w:szCs w:val="26"/>
        </w:rPr>
        <w:t xml:space="preserve">Appendix A. Emission factors</w:t>
      </w:r>
    </w:p>
    <w:p>
      <w:pPr>
        <w:keepNext/>
        <w:spacing w:after="80" w:before="240" w:line="276"/>
      </w:pPr>
      <w:r>
        <w:rPr>
          <w:rFonts w:ascii="Times New Roman" w:cs="Times New Roman" w:eastAsia="Times New Roman" w:hAnsi="Times New Roman"/>
          <w:b/>
          <w:bCs/>
          <w:sz w:val="20"/>
          <w:szCs w:val="20"/>
        </w:rPr>
        <w:t xml:space="preserve"> </w:t>
      </w:r>
      <w:r>
        <w:rPr>
          <w:rFonts w:ascii="Times New Roman" w:cs="Times New Roman" w:eastAsia="Times New Roman" w:hAnsi="Times New Roman"/>
          <w:sz w:val="20"/>
          <w:szCs w:val="20"/>
        </w:rPr>
        <w:t xml:space="preserve">Table A.1. IPCC (2006) default CO₂ emission factors (NCV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60"/>
        <w:gridCol w:w="2200"/>
        <w:gridCol w:w="2200"/>
      </w:tblGrid>
      <w:tr>
        <w:trPr>
          <w:tblHeader/>
        </w:trPr>
        <w:tc>
          <w:tcPr>
            <w:tcW w:type="dxa" w:w="28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Fuel</w:t>
            </w:r>
          </w:p>
        </w:tc>
        <w:tc>
          <w:tcPr>
            <w:tcW w:type="dxa" w:w="21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Carbon content (kg C/GJ)</w:t>
            </w:r>
          </w:p>
        </w:tc>
        <w:tc>
          <w:tcPr>
            <w:tcW w:type="dxa" w:w="22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EF (kg CO₂/TJ)</w:t>
            </w:r>
          </w:p>
        </w:tc>
        <w:tc>
          <w:tcPr>
            <w:tcW w:type="dxa" w:w="22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EF (t CO₂/toe)</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Crude oil</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73,300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3.0689</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Motor gasoline</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18.9</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69,300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2.9015</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Jet kerosene</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19.5</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71,500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2.9936</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Gas/diesel oil</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20.2</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74,100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3.1024</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LPG</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17.2</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63,100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2.6419</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Residual fuel oil</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21.1</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77,400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3.2406</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Naphtha/other</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73,300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3.0689</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Refinery gas</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15.7</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57,600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2.4116</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Natural gas</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15.3</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56,100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2.3488</w:t>
            </w:r>
          </w:p>
        </w:tc>
      </w:tr>
      <w:tr>
        <w:trPr>
          <w:cantSplit/>
        </w:trPr>
        <w:tc>
          <w:tcPr>
            <w:tcW w:type="dxa" w:w="2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Anthracite/bituminous coal</w:t>
            </w:r>
          </w:p>
        </w:tc>
        <w:tc>
          <w:tcPr>
            <w:tcW w:type="dxa" w:w="2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26.8</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98,300</w:t>
            </w:r>
          </w:p>
        </w:tc>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4.1156</w:t>
            </w:r>
          </w:p>
        </w:tc>
      </w:tr>
      <w:tr>
        <w:trPr>
          <w:cantSplit/>
        </w:trPr>
        <w:tc>
          <w:tcPr>
            <w:tcW w:type="dxa" w:w="2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Lignite</w:t>
            </w:r>
          </w:p>
        </w:tc>
        <w:tc>
          <w:tcPr>
            <w:tcW w:type="dxa" w:w="2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27.6</w:t>
            </w:r>
          </w:p>
        </w:tc>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101,000</w:t>
            </w:r>
          </w:p>
        </w:tc>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4.2287</w:t>
            </w:r>
          </w:p>
        </w:tc>
      </w:tr>
    </w:tbl>
    <w:p>
      <w:pPr>
        <w:spacing w:after="240" w:before="60" w:line="240"/>
      </w:pPr>
      <w:r>
        <w:rPr>
          <w:rFonts w:ascii="Times New Roman" w:cs="Times New Roman" w:eastAsia="Times New Roman" w:hAnsi="Times New Roman"/>
          <w:sz w:val="18"/>
          <w:szCs w:val="18"/>
        </w:rPr>
        <w:t xml:space="preserve">Source: IPCC (2006), Volume 2, Chapter 1, Table 1.4.</w:t>
      </w:r>
    </w:p>
    <w:p>
      <w:pPr>
        <w:pStyle w:val="Heading1"/>
        <w:keepNext/>
        <w:spacing w:after="0" w:before="240" w:line="480"/>
      </w:pPr>
      <w:r>
        <w:rPr>
          <w:rFonts w:ascii="Times New Roman" w:cs="Times New Roman" w:eastAsia="Times New Roman" w:hAnsi="Times New Roman"/>
          <w:b/>
          <w:bCs/>
          <w:i w:val="false"/>
          <w:iCs w:val="false"/>
          <w:sz w:val="26"/>
          <w:szCs w:val="26"/>
        </w:rPr>
        <w:t xml:space="preserve">Appendix B. Product-specific conversion factors</w:t>
      </w:r>
    </w:p>
    <w:p>
      <w:pPr>
        <w:keepNext/>
        <w:spacing w:after="80" w:before="240" w:line="276"/>
      </w:pPr>
      <w:r>
        <w:rPr>
          <w:rFonts w:ascii="Times New Roman" w:cs="Times New Roman" w:eastAsia="Times New Roman" w:hAnsi="Times New Roman"/>
          <w:b/>
          <w:bCs/>
          <w:sz w:val="20"/>
          <w:szCs w:val="20"/>
        </w:rPr>
        <w:t xml:space="preserve"> </w:t>
      </w:r>
      <w:r>
        <w:rPr>
          <w:rFonts w:ascii="Times New Roman" w:cs="Times New Roman" w:eastAsia="Times New Roman" w:hAnsi="Times New Roman"/>
          <w:sz w:val="20"/>
          <w:szCs w:val="20"/>
        </w:rPr>
        <w:t xml:space="preserve">Table B.1. Product-specific conversion factors and the product-resolved refinery slate.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500"/>
        <w:gridCol w:w="1460"/>
        <w:gridCol w:w="1500"/>
      </w:tblGrid>
      <w:tr>
        <w:trPr>
          <w:tblHeader/>
        </w:trPr>
        <w:tc>
          <w:tcPr>
            <w:tcW w:type="dxa" w:w="23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Product</w:t>
            </w:r>
          </w:p>
        </w:tc>
        <w:tc>
          <w:tcPr>
            <w:tcW w:type="dxa" w:w="13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NCV (GJ/t)</w:t>
            </w:r>
          </w:p>
        </w:tc>
        <w:tc>
          <w:tcPr>
            <w:tcW w:type="dxa" w:w="13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Density (t/m³)</w:t>
            </w:r>
          </w:p>
        </w:tc>
        <w:tc>
          <w:tcPr>
            <w:tcW w:type="dxa" w:w="15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Factor (ktoe/kbbl)</w:t>
            </w:r>
          </w:p>
        </w:tc>
        <w:tc>
          <w:tcPr>
            <w:tcW w:type="dxa" w:w="146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Output (kbbl)</w:t>
            </w:r>
          </w:p>
        </w:tc>
        <w:tc>
          <w:tcPr>
            <w:tcW w:type="dxa" w:w="1500"/>
            <w:tcBorders>
              <w:top w:val="single" w:color="000000" w:sz="4"/>
              <w:left w:val="none" w:color="FFFFFF" w:sz="0"/>
              <w:bottom w:val="single" w:color="000000" w:sz="4"/>
              <w:right w:val="none" w:color="FFFFFF" w:sz="0"/>
            </w:tcBorders>
            <w:shd w:fill="F2F2F2"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Output (ktoe)</w:t>
            </w:r>
          </w:p>
        </w:tc>
      </w:tr>
      <w:tr>
        <w:trPr>
          <w:cantSplit/>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Diesel / gas oil</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43.0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0.845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0.1380</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35,254</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4,864</w:t>
            </w:r>
          </w:p>
        </w:tc>
      </w:tr>
      <w:tr>
        <w:trPr>
          <w:cantSplit/>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Naphtha / other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44.5</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0.700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0.1183</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28,111</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3,325</w:t>
            </w:r>
          </w:p>
        </w:tc>
      </w:tr>
      <w:tr>
        <w:trPr>
          <w:cantSplit/>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Gasoline 91</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44.3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0.745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0.1253</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16,540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2,073</w:t>
            </w:r>
          </w:p>
        </w:tc>
      </w:tr>
      <w:tr>
        <w:trPr>
          <w:cantSplit/>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Gasoline 95</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44.3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0.745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0.1253</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14,887</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1,866</w:t>
            </w:r>
          </w:p>
        </w:tc>
      </w:tr>
      <w:tr>
        <w:trPr>
          <w:cantSplit/>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Jet / kerosene</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44.1</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0.800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0.1340</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11,712</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1,569</w:t>
            </w:r>
          </w:p>
        </w:tc>
      </w:tr>
      <w:tr>
        <w:trPr>
          <w:cantSplit/>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LPG</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47.3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0.540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0.0970</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8,112</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787</w:t>
            </w:r>
          </w:p>
        </w:tc>
      </w:tr>
      <w:tr>
        <w:trPr>
          <w:cantSplit/>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Fuel oil</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40.4</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0.960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0.1473</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524</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77</w:t>
            </w:r>
          </w:p>
        </w:tc>
      </w:tr>
      <w:tr>
        <w:trPr>
          <w:cantSplit/>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Slate (mix-weighted)</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0.1265</w:t>
            </w:r>
          </w:p>
        </w:tc>
        <w:tc>
          <w:tcPr>
            <w:tcW w:type="dxa" w:w="14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115,140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14,561</w:t>
            </w:r>
          </w:p>
        </w:tc>
      </w:tr>
    </w:tbl>
    <w:p>
      <w:pPr>
        <w:spacing w:after="240" w:before="60" w:line="240"/>
      </w:pPr>
      <w:r>
        <w:rPr>
          <w:rFonts w:ascii="Times New Roman" w:cs="Times New Roman" w:eastAsia="Times New Roman" w:hAnsi="Times New Roman"/>
          <w:sz w:val="18"/>
          <w:szCs w:val="18"/>
        </w:rPr>
        <w:t xml:space="preserve">NCV from IPCC (2006); densities are typical values. Factor = density × 0.158987 m³/bbl × NCV / 41.868 GJ/toe.</w:t>
      </w:r>
    </w:p>
    <w:sectPr>
      <w:footerReference w:type="default" r:id="rId7"/>
      <w:pgSz w:w="11906" w:h="16838" w:orient="portrait"/>
      <w:pgMar w:top="1273" w:right="1273" w:bottom="1273" w:left="1273"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31ded01ce91b84f6690bf1a1eccc1344de12d96.png"/><Relationship Id="rId9" Type="http://schemas.openxmlformats.org/officeDocument/2006/relationships/image" Target="media/56bc131553219de4dc88be9ffdf22875845bfc21.png"/><Relationship Id="rId10" Type="http://schemas.openxmlformats.org/officeDocument/2006/relationships/image" Target="media/f15809344e6dfcb89f469b9e0a2707787365cc0c.png"/><Relationship Id="rId11" Type="http://schemas.openxmlformats.org/officeDocument/2006/relationships/image" Target="media/57b45771199d42c8d59d180d10a383645601a26a.png"/><Relationship Id="rId12" Type="http://schemas.openxmlformats.org/officeDocument/2006/relationships/image" Target="media/7b3293cf9bda05bb99fa68276a4d1fa70a21dea3.png"/><Relationship Id="rId13" Type="http://schemas.openxmlformats.org/officeDocument/2006/relationships/image" Target="media/872d392ea96e9a2918344ee250b965823eaf6c3b.png"/><Relationship Id="rId14" Type="http://schemas.openxmlformats.org/officeDocument/2006/relationships/image" Target="media/8e24a74456c45b474b9c892e3b3cb292358bc043.png"/><Relationship Id="rId15" Type="http://schemas.openxmlformats.org/officeDocument/2006/relationships/image" Target="media/3f072dc00dd1c16f67a1503c106a85e11fdba05d.png"/><Relationship Id="rId16" Type="http://schemas.openxmlformats.org/officeDocument/2006/relationships/image" Target="media/8a90191992db8c0865e54c417c9c8bc630eb07d7.png"/><Relationship Id="rId17" Type="http://schemas.openxmlformats.org/officeDocument/2006/relationships/image" Target="media/eef483b2830c58690409b156df6bb3da24d939f6.png"/><Relationship Id="rId18" Type="http://schemas.openxmlformats.org/officeDocument/2006/relationships/image" Target="media/e8c09eb6745c7f2e7e2c3b82d0c31c1216e6d576.png"/><Relationship Id="rId19" Type="http://schemas.openxmlformats.org/officeDocument/2006/relationships/image" Target="media/fdaf07cf9c827050e84937640cf63fa5160cdb17.png"/><Relationship Id="rId20" Type="http://schemas.openxmlformats.org/officeDocument/2006/relationships/image" Target="media/bc91c4cd9a9b509c5ad472114cadb7cb437209e8.png"/><Relationship Id="rId21" Type="http://schemas.openxmlformats.org/officeDocument/2006/relationships/image" Target="media/4988d2ac0b87cda8df8ad17d6a0f7c0a8d46c83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the books of a rentier energy economy: reconciled energy accounts, CO₂ drivers and the renewable dual dividend in Oman, 2015–2025</dc:title>
  <cp:lastModifiedBy>Un-named</cp:lastModifiedBy>
  <cp:revision>1</cp:revision>
  <dcterms:created xsi:type="dcterms:W3CDTF">2026-10-11T04:47:37.038Z</dcterms:created>
  <dcterms:modified xsi:type="dcterms:W3CDTF">2026-10-11T04:47:37.038Z</dcterms:modified>
</cp:coreProperties>
</file>

<file path=docProps/custom.xml><?xml version="1.0" encoding="utf-8"?>
<Properties xmlns="http://schemas.openxmlformats.org/officeDocument/2006/custom-properties" xmlns:vt="http://schemas.openxmlformats.org/officeDocument/2006/docPropsVTypes"/>
</file>