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Closing the books of a rentier energy economy: reconciled energy accounts, CO₂ drivers and the renewable dual dividend in Oman, 2015–2025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 One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a,*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Author Two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Author Three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a</w:t>
      </w:r>
    </w:p>
    <w:p>
      <w:pPr>
        <w:spacing w:after="4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Department, Institution, City, Postal code, Sultanate of Oman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perscript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Department, Institution, City, Postal code, Country</w:t>
      </w:r>
    </w:p>
    <w:p>
      <w:pPr>
        <w:spacing w:after="300" w:line="3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* Corresponding author. E-mail: name@institution.om; ORCID: 0000-0000-0000-0000</w:t>
      </w:r>
    </w:p>
    <w:p>
      <w:pPr>
        <w:spacing w:after="240" w:line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Running title: Reconciled energy accounts for Oman</w:t>
      </w:r>
    </w:p>
    <w:p>
      <w:pPr>
        <w:pStyle w:val="Heading2"/>
        <w:keepNext/>
        <w:spacing w:after="0" w:before="120" w:lin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CRediT authorship contribution statement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 One: Conceptualization, Methodology, Data curation, Formal analysis, Software, Writing – original draft. Author Two: Validation, Visualization, Writing – review &amp; editing. Author Three: Supervision, Writing – review &amp; editing.</w:t>
      </w:r>
    </w:p>
    <w:p>
      <w:pPr>
        <w:pStyle w:val="Heading2"/>
        <w:keepNext/>
        <w:spacing w:after="0" w:before="120" w:lin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Declaration of competing interest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authors declare that they have no known competing financial interests or personal relationships that could have appeared to influence the work reported in this paper.</w:t>
      </w:r>
    </w:p>
    <w:p>
      <w:pPr>
        <w:pStyle w:val="Heading2"/>
        <w:keepNext/>
        <w:spacing w:after="0" w:before="120" w:lin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Funding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research did not receive any specific grant from funding agencies in the public, commercial, or not-for-profit sectors.</w:t>
      </w:r>
    </w:p>
    <w:p>
      <w:pPr>
        <w:pStyle w:val="Heading2"/>
        <w:keepNext/>
        <w:spacing w:after="0" w:before="120" w:lin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Data permission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National energy statistics were used with the written permission of the Ministry of Energy and Minerals of the Sultanate of Oman (letter reference and date).</w:t>
      </w:r>
    </w:p>
    <w:p>
      <w:pPr>
        <w:pStyle w:val="Heading2"/>
        <w:keepNext/>
        <w:spacing w:after="0" w:before="120" w:lin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Acknowledgements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authors thank the Ministry of Energy and Minerals and the National Centre for Statistics and Information for providing data and for comments on the reconciliation procedures.</w:t>
      </w:r>
    </w:p>
    <w:sectPr>
      <w:footerReference w:type="default" r:id="rId7"/>
      <w:pgSz w:w="11906" w:h="16838" w:orient="portrait"/>
      <w:pgMar w:top="1273" w:right="1273" w:bottom="1273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cp:lastModifiedBy>Un-named</cp:lastModifiedBy>
  <cp:revision>1</cp:revision>
  <dcterms:created xsi:type="dcterms:W3CDTF">2026-10-11T04:47:37.047Z</dcterms:created>
  <dcterms:modified xsi:type="dcterms:W3CDTF">2026-10-11T04:47:37.047Z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