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color w:val="2E6CA3"/>
          <w:sz w:val="36"/>
          <w:szCs w:val="36"/>
        </w:rPr>
        <w:t xml:space="preserve">Legal Consultation Brief</w:t>
      </w:r>
    </w:p>
    <w:p>
      <w:pPr>
        <w:spacing w:after="200"/>
      </w:pPr>
      <w:r>
        <w:rPr>
          <w:i/>
          <w:iCs/>
          <w:color w:val="555555"/>
          <w:sz w:val="24"/>
          <w:szCs w:val="24"/>
        </w:rPr>
        <w:t xml:space="preserve">Data-Protection (PDPPL) &amp; Real-Estate Regulatory Review — Thammen Beta</w:t>
      </w:r>
    </w:p>
    <w:p>
      <w:pPr>
        <w:spacing w:after="40"/>
      </w:pPr>
      <w:r>
        <w:rPr>
          <w:b/>
          <w:bCs/>
        </w:rPr>
        <w:t xml:space="preserve">Re:  </w:t>
      </w:r>
      <w:r>
        <w:t xml:space="preserve">Thammen (thammen.qa) — automated real-estate market-estimate tool; proposed limited beta</w:t>
      </w:r>
    </w:p>
    <w:p>
      <w:pPr>
        <w:spacing w:after="40"/>
      </w:pPr>
      <w:r>
        <w:rPr>
          <w:b/>
          <w:bCs/>
        </w:rPr>
        <w:t xml:space="preserve">Prepared for:  </w:t>
      </w:r>
      <w:r>
        <w:t xml:space="preserve">Licensed Qatari legal counsel</w:t>
      </w:r>
    </w:p>
    <w:p>
      <w:pPr>
        <w:spacing w:after="40"/>
      </w:pPr>
      <w:r>
        <w:rPr>
          <w:b/>
          <w:bCs/>
        </w:rPr>
        <w:t xml:space="preserve">Prepared by:  </w:t>
      </w:r>
      <w:r>
        <w:t xml:space="preserve">[Founder name], Thammen</w:t>
      </w:r>
    </w:p>
    <w:p>
      <w:pPr>
        <w:spacing w:after="40"/>
      </w:pPr>
      <w:r>
        <w:rPr>
          <w:b/>
          <w:bCs/>
        </w:rPr>
        <w:t xml:space="preserve">Date:  </w:t>
      </w:r>
      <w:r>
        <w:t xml:space="preserve">1 June 2026</w:t>
      </w:r>
    </w:p>
    <w:p>
      <w:pPr>
        <w:spacing w:after="40"/>
      </w:pPr>
      <w:r>
        <w:rPr>
          <w:b/>
          <w:bCs/>
        </w:rPr>
        <w:t xml:space="preserve">Jurisdiction:  </w:t>
      </w:r>
      <w:r>
        <w:t xml:space="preserve">State of Qatar (mainland)</w:t>
      </w:r>
    </w:p>
    <w:p>
      <w:pPr>
        <w:pBdr>
          <w:top w:val="single" w:color="B23B3B" w:sz="4" w:space="6"/>
          <w:bottom w:val="single" w:color="B23B3B" w:sz="4" w:space="6"/>
        </w:pBdr>
        <w:spacing w:after="60" w:before="200"/>
      </w:pPr>
      <w:r>
        <w:rPr>
          <w:b/>
          <w:bCs/>
          <w:color w:val="B23B3B"/>
        </w:rPr>
        <w:t xml:space="preserve">Important notice.  </w:t>
      </w:r>
      <w:r>
        <w:rPr>
          <w:i/>
          <w:iCs/>
        </w:rPr>
        <w:t xml:space="preserve">This brief was prepared with the assistance of AI legal-research tools and reflects our preliminary, non-lawyer understanding of the position. It is not legal advice and we do not rely on it as such. We are seeking your professional legal opinion on the questions in Section 4 before we launch.</w:t>
      </w:r>
    </w:p>
    <w:p>
      <w:pPr>
        <w:pStyle w:val="Heading1"/>
      </w:pPr>
      <w:r>
        <w:t xml:space="preserve">1.  Background</w:t>
      </w:r>
    </w:p>
    <w:p>
      <w:pPr>
        <w:pStyle w:val="ListParagraph"/>
        <w:numPr>
          <w:ilvl w:val="0"/>
          <w:numId w:val="2"/>
        </w:numPr>
        <w:spacing w:after="80"/>
      </w:pPr>
      <w:r>
        <w:t xml:space="preserve">Thammen is an automated valuation / market-estimate model for Qatar real estate. It combines Qatar Ministry of Justice (MoJ) open transaction data (data.gov.qa) with user-supplied property details. Outputs are presented as decision-support and are expressly not certified valuations.</w:t>
      </w:r>
    </w:p>
    <w:p>
      <w:pPr>
        <w:pStyle w:val="ListParagraph"/>
        <w:numPr>
          <w:ilvl w:val="0"/>
          <w:numId w:val="2"/>
        </w:numPr>
        <w:spacing w:after="80"/>
      </w:pPr>
      <w:r>
        <w:t xml:space="preserve">We plan a small, invited beta limited to villas and land, offered to a limited number of invited users.</w:t>
      </w:r>
    </w:p>
    <w:p>
      <w:pPr>
        <w:pStyle w:val="ListParagraph"/>
        <w:numPr>
          <w:ilvl w:val="0"/>
          <w:numId w:val="2"/>
        </w:numPr>
        <w:spacing w:after="80"/>
      </w:pPr>
      <w:r>
        <w:t xml:space="preserve">To measure and improve accuracy, we propose to capture limited data per use. The capability is already built but is currently switched off pending this review.</w:t>
      </w:r>
    </w:p>
    <w:p>
      <w:pPr>
        <w:pStyle w:val="ListParagraph"/>
        <w:numPr>
          <w:ilvl w:val="0"/>
          <w:numId w:val="2"/>
        </w:numPr>
        <w:spacing w:after="80"/>
      </w:pPr>
      <w:r>
        <w:t xml:space="preserve">Hosting: the database would be Heroku Postgres, physically located in the United States or the European Union (i.e., outside Qatar).</w:t>
      </w:r>
    </w:p>
    <w:p>
      <w:pPr>
        <w:pStyle w:val="ListParagraph"/>
        <w:numPr>
          <w:ilvl w:val="0"/>
          <w:numId w:val="2"/>
        </w:numPr>
        <w:spacing w:after="80"/>
      </w:pPr>
      <w:r>
        <w:t xml:space="preserve">Operating entity: [to confirm — the legal entity / commercial registration under which Thammen will operate].</w:t>
      </w:r>
    </w:p>
    <w:p>
      <w:pPr>
        <w:pStyle w:val="Heading2"/>
      </w:pPr>
      <w:r>
        <w:t xml:space="preserve">Data we propose to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Record</w:t>
            </w:r>
          </w:p>
        </w:tc>
        <w:tc>
          <w:tcPr>
            <w:tcW w:type="dxa" w:w="6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b/>
                <w:bCs/>
              </w:rPr>
              <w:t xml:space="preserve">Fields captured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Prediction (per estimate)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UUID; an internal valuation_id (currently embeds the property address — under revision to a separate field); property location (zone / street / building number); estimated value and range; method/tier; timestamp. User IP is NOT stored.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Feedback (optional)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UUID + valuation_id; an outcome flag; an optional actual transacted price; an optional free-text note; timestamp.</w:t>
            </w:r>
          </w:p>
        </w:tc>
      </w:tr>
    </w:tbl>
    <w:p>
      <w:pPr>
        <w:pStyle w:val="Heading1"/>
        <w:spacing w:after="140" w:before="260"/>
      </w:pPr>
      <w:r>
        <w:t xml:space="preserve">2.  What we need to decide</w:t>
      </w:r>
    </w:p>
    <w:p>
      <w:pPr>
        <w:pStyle w:val="ListParagraph"/>
        <w:numPr>
          <w:ilvl w:val="0"/>
          <w:numId w:val="2"/>
        </w:numPr>
        <w:spacing w:after="80"/>
      </w:pPr>
      <w:r>
        <w:t xml:space="preserve">Whether a limited, invited beta can lawfully proceed — and under what minimum configuration (consent, hosting location, retention, privacy notice, security measures).</w:t>
      </w:r>
    </w:p>
    <w:p>
      <w:pPr>
        <w:spacing w:after="60"/>
      </w:pPr>
      <w:r>
        <w:t xml:space="preserve">Two issues we believe could gate even a small beta, on which we specifically need your view:</w:t>
      </w:r>
    </w:p>
    <w:p>
      <w:pPr>
        <w:pStyle w:val="ListParagraph"/>
        <w:numPr>
          <w:ilvl w:val="0"/>
          <w:numId w:val="2"/>
        </w:numPr>
        <w:spacing w:after="80"/>
      </w:pPr>
      <w:r>
        <w:rPr>
          <w:b/>
          <w:bCs/>
        </w:rPr>
        <w:t xml:space="preserve">Aqarat licensing: </w:t>
      </w:r>
      <w:r>
        <w:t xml:space="preserve">whether offering an AVM “decision-support” tool constitutes a regulated real-estate valuation activity requiring a licence.</w:t>
      </w:r>
    </w:p>
    <w:p>
      <w:pPr>
        <w:pStyle w:val="ListParagraph"/>
        <w:numPr>
          <w:ilvl w:val="0"/>
          <w:numId w:val="2"/>
        </w:numPr>
        <w:spacing w:after="80"/>
      </w:pPr>
      <w:r>
        <w:rPr>
          <w:b/>
          <w:bCs/>
        </w:rPr>
        <w:t xml:space="preserve">Special-nature data: </w:t>
      </w:r>
      <w:r>
        <w:t xml:space="preserve">whether the optional free-text field risks capturing “special nature” personal data that triggers a prior-permission requirement.</w:t>
      </w:r>
    </w:p>
    <w:p>
      <w:pPr>
        <w:pStyle w:val="Heading1"/>
      </w:pPr>
      <w:r>
        <w:t xml:space="preserve">3.  Our working assumptions (for your confirmation or correction)</w:t>
      </w:r>
    </w:p>
    <w:p>
      <w:pPr>
        <w:spacing w:after="100"/>
      </w:pPr>
      <w:r>
        <w:rPr>
          <w:i/>
          <w:iCs/>
        </w:rPr>
        <w:t xml:space="preserve">These are our non-lawyer assumptions from preliminary research. Please confirm or correct each.</w:t>
      </w:r>
    </w:p>
    <w:p>
      <w:pPr>
        <w:pStyle w:val="ListParagraph"/>
        <w:numPr>
          <w:ilvl w:val="0"/>
          <w:numId w:val="3"/>
        </w:numPr>
        <w:spacing w:after="80"/>
      </w:pPr>
      <w:r>
        <w:t xml:space="preserve">PDPPL (Law No. 13 of 2016) is the governing data-protection law; the QFC regime does not apply (we are mainland). Oversight sits with the NCSA and the MCIT’s Compliance and Data Protection Department.</w:t>
      </w:r>
    </w:p>
    <w:p>
      <w:pPr>
        <w:pStyle w:val="ListParagraph"/>
        <w:numPr>
          <w:ilvl w:val="0"/>
          <w:numId w:val="3"/>
        </w:numPr>
        <w:spacing w:after="80"/>
      </w:pPr>
      <w:r>
        <w:t xml:space="preserve">Address-linked valuation records — especially for villas/land — should be treated as personal data of the owner/occupant, even though we store no name, IP, or Qatar ID.</w:t>
      </w:r>
    </w:p>
    <w:p>
      <w:pPr>
        <w:pStyle w:val="ListParagraph"/>
        <w:numPr>
          <w:ilvl w:val="0"/>
          <w:numId w:val="3"/>
        </w:numPr>
        <w:spacing w:after="80"/>
      </w:pPr>
      <w:r>
        <w:t xml:space="preserve">PDPPL imposes no general data-localization mandate, and overseas (US/EU) hosting is not prohibited for non-sensitive commercial data — although Qatar/GCC hosting would be lower-risk.</w:t>
      </w:r>
    </w:p>
    <w:p>
      <w:pPr>
        <w:pStyle w:val="ListParagraph"/>
        <w:numPr>
          <w:ilvl w:val="0"/>
          <w:numId w:val="3"/>
        </w:numPr>
        <w:spacing w:after="80"/>
      </w:pPr>
      <w:r>
        <w:t xml:space="preserve">We should rely on explicit, opt-in consent (kept separate from the Terms of Service), not on a “legitimate interest” / lawful-purpose basis.</w:t>
      </w:r>
    </w:p>
    <w:p>
      <w:pPr>
        <w:pStyle w:val="ListParagraph"/>
        <w:numPr>
          <w:ilvl w:val="0"/>
          <w:numId w:val="3"/>
        </w:numPr>
        <w:spacing w:after="80"/>
      </w:pPr>
      <w:r>
        <w:t xml:space="preserve">There is no general controller-registration requirement and no mandatory Data Protection Officer for a beta of this scale.</w:t>
      </w:r>
    </w:p>
    <w:p>
      <w:pPr>
        <w:pStyle w:val="ListParagraph"/>
        <w:numPr>
          <w:ilvl w:val="0"/>
          <w:numId w:val="3"/>
        </w:numPr>
        <w:spacing w:after="80"/>
      </w:pPr>
      <w:r>
        <w:t xml:space="preserve">We should support access, correction, withdrawal and erasure rights, apply short retention (approximately 90–180 days), and document security measures and a breach-response procedure.</w:t>
      </w:r>
    </w:p>
    <w:p>
      <w:pPr>
        <w:pStyle w:val="Heading1"/>
      </w:pPr>
      <w:r>
        <w:t xml:space="preserve">4.  Questions for counsel</w:t>
      </w:r>
    </w:p>
    <w:p>
      <w:pPr>
        <w:spacing w:after="100"/>
      </w:pPr>
      <w:r>
        <w:t xml:space="preserve">Grouped by theme. Items marked </w:t>
      </w:r>
      <w:r>
        <w:rPr>
          <w:b/>
          <w:bCs/>
          <w:color w:val="B23B3B"/>
        </w:rPr>
        <w:t xml:space="preserve">[PRIORITY]</w:t>
      </w:r>
      <w:r>
        <w:t xml:space="preserve"> are those we believe may gate the launch and would value your view on first.</w:t>
      </w:r>
    </w:p>
    <w:p>
      <w:pPr>
        <w:pStyle w:val="Heading2"/>
      </w:pPr>
      <w:r>
        <w:t xml:space="preserve">Classification</w:t>
      </w:r>
    </w:p>
    <w:p>
      <w:pPr>
        <w:pStyle w:val="ListParagraph"/>
        <w:numPr>
          <w:ilvl w:val="0"/>
          <w:numId w:val="4"/>
        </w:numPr>
        <w:spacing w:after="100"/>
      </w:pPr>
      <w:r>
        <w:rPr>
          <w:b/>
          <w:bCs/>
          <w:color w:val="B23B3B"/>
        </w:rPr>
        <w:t xml:space="preserve">[PRIORITY] </w:t>
      </w:r>
      <w:r>
        <w:t xml:space="preserve">Is a villa/land address + valuation output (and optional transaction price) “personal data” of the owner/occupant under PDPPL, even where no name, IP address or Qatar ID is stored? Does the invited-cohort context make the user identifiable via the invitation list?</w:t>
      </w:r>
    </w:p>
    <w:p>
      <w:pPr>
        <w:pStyle w:val="ListParagraph"/>
        <w:numPr>
          <w:ilvl w:val="0"/>
          <w:numId w:val="4"/>
        </w:numPr>
        <w:spacing w:after="100"/>
      </w:pPr>
      <w:r>
        <w:t xml:space="preserve">Does a randomly generated UUID render the prediction record “anonymized,” or merely “pseudonymized,” under Qatari guidance?</w:t>
      </w:r>
    </w:p>
    <w:p>
      <w:pPr>
        <w:pStyle w:val="Heading2"/>
      </w:pPr>
      <w:r>
        <w:t xml:space="preserve">Cross-border transfer</w:t>
      </w:r>
    </w:p>
    <w:p>
      <w:pPr>
        <w:pStyle w:val="ListParagraph"/>
        <w:numPr>
          <w:ilvl w:val="0"/>
          <w:numId w:val="4"/>
        </w:numPr>
        <w:spacing w:after="100"/>
      </w:pPr>
      <w:r>
        <w:t xml:space="preserve">Does PDPPL require regulator approval or notification before storing this data on US/EU Heroku Postgres? Is explicit consent alone sufficient to authorize overseas hosting?</w:t>
      </w:r>
    </w:p>
    <w:p>
      <w:pPr>
        <w:pStyle w:val="ListParagraph"/>
        <w:numPr>
          <w:ilvl w:val="0"/>
          <w:numId w:val="4"/>
        </w:numPr>
        <w:spacing w:after="100"/>
      </w:pPr>
      <w:r>
        <w:rPr>
          <w:b/>
          <w:bCs/>
          <w:color w:val="B23B3B"/>
        </w:rPr>
        <w:t xml:space="preserve">[PRIORITY] </w:t>
      </w:r>
      <w:r>
        <w:t xml:space="preserve">Is there any binding NCSA/MCIT guidance — or informal regulator expectation — effectively requiring Qatar/GCC residency for real-estate or citizen data, despite the permissive Article 15? Are Standard Contractual Clauses required for this category?</w:t>
      </w:r>
    </w:p>
    <w:p>
      <w:pPr>
        <w:pStyle w:val="ListParagraph"/>
        <w:numPr>
          <w:ilvl w:val="0"/>
          <w:numId w:val="4"/>
        </w:numPr>
        <w:spacing w:after="100"/>
      </w:pPr>
      <w:r>
        <w:t xml:space="preserve">Must the privacy notice explicitly name the hosting jurisdiction (e.g., the United States / EU)?</w:t>
      </w:r>
    </w:p>
    <w:p>
      <w:pPr>
        <w:pStyle w:val="Heading2"/>
      </w:pPr>
      <w:r>
        <w:t xml:space="preserve">Lawful basis &amp; consent</w:t>
      </w:r>
    </w:p>
    <w:p>
      <w:pPr>
        <w:pStyle w:val="ListParagraph"/>
        <w:numPr>
          <w:ilvl w:val="0"/>
          <w:numId w:val="4"/>
        </w:numPr>
        <w:spacing w:after="100"/>
      </w:pPr>
      <w:r>
        <w:t xml:space="preserve">Can Thammen rely on a “lawful purpose” / legitimate-interest basis to process and improve the model without explicit consent, or is explicit, unbundled opt-in strictly required for the beta?</w:t>
      </w:r>
    </w:p>
    <w:p>
      <w:pPr>
        <w:pStyle w:val="ListParagraph"/>
        <w:numPr>
          <w:ilvl w:val="0"/>
          <w:numId w:val="4"/>
        </w:numPr>
        <w:spacing w:after="100"/>
      </w:pPr>
      <w:r>
        <w:rPr>
          <w:b/>
          <w:bCs/>
          <w:color w:val="B23B3B"/>
        </w:rPr>
        <w:t xml:space="preserve">[PRIORITY] </w:t>
      </w:r>
      <w:r>
        <w:t xml:space="preserve">Do the free-text notes / transaction-price feedback require a heightened consent threshold? Should the free-text field be disabled entirely during the beta?</w:t>
      </w:r>
    </w:p>
    <w:p>
      <w:pPr>
        <w:pStyle w:val="Heading2"/>
      </w:pPr>
      <w:r>
        <w:t xml:space="preserve">Data-subject rights, retention &amp; deletion</w:t>
      </w:r>
    </w:p>
    <w:p>
      <w:pPr>
        <w:pStyle w:val="ListParagraph"/>
        <w:numPr>
          <w:ilvl w:val="0"/>
          <w:numId w:val="4"/>
        </w:numPr>
        <w:spacing w:after="100"/>
      </w:pPr>
      <w:r>
        <w:t xml:space="preserve">Does PDPPL provide a full right to erasure (GDPR-style), or only correction and withdrawal rights? Does deleting the street/building number and free-text note — while retaining the macro “zone” and the valuation for model tuning — satisfy an erasure request? i.e., is the residual data legally “anonymized” and outside PDPPL?</w:t>
      </w:r>
    </w:p>
    <w:p>
      <w:pPr>
        <w:pStyle w:val="ListParagraph"/>
        <w:numPr>
          <w:ilvl w:val="0"/>
          <w:numId w:val="4"/>
        </w:numPr>
        <w:spacing w:after="100"/>
      </w:pPr>
      <w:r>
        <w:t xml:space="preserve">What is an acceptable retention period, and acceptable response timeframes for rights requests? Must erasure reach backups?</w:t>
      </w:r>
    </w:p>
    <w:p>
      <w:pPr>
        <w:pStyle w:val="Heading2"/>
      </w:pPr>
      <w:r>
        <w:t xml:space="preserve">Security &amp; breach notification</w:t>
      </w:r>
    </w:p>
    <w:p>
      <w:pPr>
        <w:pStyle w:val="ListParagraph"/>
        <w:numPr>
          <w:ilvl w:val="0"/>
          <w:numId w:val="4"/>
        </w:numPr>
        <w:spacing w:after="100"/>
      </w:pPr>
      <w:r>
        <w:t xml:space="preserve">What is the actual breach-notification timeline (is the commonly cited 72-hour figure binding law or guidance?), the correct regulator notification channel and content, and the threshold for “serious damage” where the data consists of pseudonymized AVM queries?</w:t>
      </w:r>
    </w:p>
    <w:p>
      <w:pPr>
        <w:pStyle w:val="Heading2"/>
      </w:pPr>
      <w:r>
        <w:t xml:space="preserve">Registration, DPO, DPIA &amp; AI guidance</w:t>
      </w:r>
    </w:p>
    <w:p>
      <w:pPr>
        <w:pStyle w:val="ListParagraph"/>
        <w:numPr>
          <w:ilvl w:val="0"/>
          <w:numId w:val="4"/>
        </w:numPr>
        <w:spacing w:after="100"/>
      </w:pPr>
      <w:r>
        <w:t xml:space="preserve">Must we register/notify with the MCIT/NDPO before processing? Is a Data Protection Officer required? Is a data-protection impact assessment effectively mandatory for an AVM, and in what format?</w:t>
      </w:r>
    </w:p>
    <w:p>
      <w:pPr>
        <w:pStyle w:val="ListParagraph"/>
        <w:numPr>
          <w:ilvl w:val="0"/>
          <w:numId w:val="4"/>
        </w:numPr>
        <w:spacing w:after="100"/>
      </w:pPr>
      <w:r>
        <w:t xml:space="preserve">Do the NCSA “Guidelines for Secure Adoption and Usage of Artificial Intelligence” impose an algorithmic-impact assessment or any registration on an AVM before launch?</w:t>
      </w:r>
    </w:p>
    <w:p>
      <w:pPr>
        <w:pStyle w:val="Heading2"/>
      </w:pPr>
      <w:r>
        <w:t xml:space="preserve">Legal status of guidance</w:t>
      </w:r>
    </w:p>
    <w:p>
      <w:pPr>
        <w:pStyle w:val="ListParagraph"/>
        <w:numPr>
          <w:ilvl w:val="0"/>
          <w:numId w:val="4"/>
        </w:numPr>
        <w:spacing w:after="100"/>
      </w:pPr>
      <w:r>
        <w:t xml:space="preserve">Are the 2021 MCIT/CDPD Guidelines binding law or advisory? Are there any binding Minister’s / Competent-Department decisions on consent, breach notification, security, or special-nature processing that we must follow as hard law?</w:t>
      </w:r>
    </w:p>
    <w:p>
      <w:pPr>
        <w:pStyle w:val="Heading2"/>
      </w:pPr>
      <w:r>
        <w:t xml:space="preserve">Real-estate &amp; financial sector</w:t>
      </w:r>
    </w:p>
    <w:p>
      <w:pPr>
        <w:pStyle w:val="ListParagraph"/>
        <w:numPr>
          <w:ilvl w:val="0"/>
          <w:numId w:val="4"/>
        </w:numPr>
        <w:spacing w:after="100"/>
      </w:pPr>
      <w:r>
        <w:rPr>
          <w:b/>
          <w:bCs/>
          <w:color w:val="B23B3B"/>
        </w:rPr>
        <w:t xml:space="preserve">[PRIORITY] </w:t>
      </w:r>
      <w:r>
        <w:t xml:space="preserve">Does Aqarat (Decision No. 28 of 2023) classify an algorithmic “decision-support” AVM as a regulated real-estate valuation service requiring a licence? Does the “not a certified valuation” framing — and using “Automated Market Estimate” rather than “Valuation” — keep Thammen outside it? Is RICS-aligned accreditation needed to call outputs “valuations”? Could Qatar Central Bank rules ever reach the product (e.g., if outputs feed mortgage lending)?</w:t>
      </w:r>
    </w:p>
    <w:p>
      <w:pPr>
        <w:pStyle w:val="Heading2"/>
      </w:pPr>
      <w:r>
        <w:t xml:space="preserve">Open data</w:t>
      </w:r>
    </w:p>
    <w:p>
      <w:pPr>
        <w:pStyle w:val="ListParagraph"/>
        <w:numPr>
          <w:ilvl w:val="0"/>
          <w:numId w:val="4"/>
        </w:numPr>
        <w:spacing w:after="100"/>
      </w:pPr>
      <w:r>
        <w:t xml:space="preserve">What are the exact data.gov.qa licence terms for the specific MoJ transaction dataset(s) — commercial reuse, derivative-analytics permission, attribution format, and any redistribution limits?</w:t>
      </w:r>
    </w:p>
    <w:p>
      <w:pPr>
        <w:pStyle w:val="Heading1"/>
      </w:pPr>
      <w:r>
        <w:t xml:space="preserve">5.  What we would value from you</w:t>
      </w:r>
    </w:p>
    <w:p>
      <w:pPr>
        <w:pStyle w:val="ListParagraph"/>
        <w:numPr>
          <w:ilvl w:val="0"/>
          <w:numId w:val="2"/>
        </w:numPr>
        <w:spacing w:after="80"/>
      </w:pPr>
      <w:r>
        <w:t xml:space="preserve">Your opinion on the [PRIORITY] gating questions first (1, 4, 7, 14), as these determine whether and how we launch.</w:t>
      </w:r>
    </w:p>
    <w:p>
      <w:pPr>
        <w:pStyle w:val="ListParagraph"/>
        <w:numPr>
          <w:ilvl w:val="0"/>
          <w:numId w:val="2"/>
        </w:numPr>
        <w:spacing w:after="80"/>
      </w:pPr>
      <w:r>
        <w:t xml:space="preserve">A view on the minimum compliant configuration for a limited beta.</w:t>
      </w:r>
    </w:p>
    <w:p>
      <w:pPr>
        <w:pStyle w:val="ListParagraph"/>
        <w:numPr>
          <w:ilvl w:val="0"/>
          <w:numId w:val="2"/>
        </w:numPr>
        <w:spacing w:after="80"/>
      </w:pPr>
      <w:r>
        <w:t xml:space="preserve">Any registration, approval, or sector requirement we have missed.</w:t>
      </w:r>
    </w:p>
    <w:p>
      <w:pPr>
        <w:spacing w:before="220"/>
      </w:pPr>
      <w:r>
        <w:rPr>
          <w:i/>
          <w:iCs/>
          <w:color w:val="555555"/>
        </w:rPr>
        <w:t xml:space="preserve">Thank you. We are happy to provide any further technical detail on the data flows or architecture on request.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CA3" w:sz="4" w:space="6"/>
      </w:pBdr>
      <w:tabs>
        <w:tab w:val="right" w:pos="9360"/>
      </w:tabs>
    </w:pPr>
    <w:r>
      <w:rPr>
        <w:color w:val="777777"/>
        <w:sz w:val="16"/>
        <w:szCs w:val="16"/>
      </w:rPr>
      <w:t xml:space="preserve">Thammen — Confidential — prepared for legal consultation</w:t>
    </w:r>
    <w:r>
      <w:rPr>
        <w:color w:val="777777"/>
        <w:sz w:val="16"/>
        <w:szCs w:val="16"/>
      </w:rPr>
      <w:t xml:space="preserve">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6CA3"/>
      <w:sz w:val="28"/>
      <w:szCs w:val="28"/>
    </w:rPr>
  </w:style>
  <w:style w:type="paragraph" w:styleId="Heading2">
    <w:name w:val="Heading 2"/>
    <w:basedOn w:val="Normal"/>
    <w:next w:val="Normal"/>
    <w:qFormat/>
    <w:pPr>
      <w:spacing w:after="80" w:before="18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2026-06-01T18:58:33.520Z</dcterms:created>
  <dcterms:modified xsi:type="dcterms:W3CDTF">2026-06-01T18:58:33.520Z</dcterms:modified>
</cp:coreProperties>
</file>

<file path=docProps/custom.xml><?xml version="1.0" encoding="utf-8"?>
<Properties xmlns="http://schemas.openxmlformats.org/officeDocument/2006/custom-properties" xmlns:vt="http://schemas.openxmlformats.org/officeDocument/2006/docPropsVTypes"/>
</file>