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F4BA" w14:textId="77777777" w:rsidR="00BB2E05" w:rsidRPr="00BB2E05" w:rsidRDefault="00BB2E05" w:rsidP="00BB2E05">
      <w:pPr>
        <w:rPr>
          <w:b/>
          <w:bCs/>
        </w:rPr>
      </w:pPr>
      <w:r w:rsidRPr="00BB2E05">
        <w:rPr>
          <w:b/>
          <w:bCs/>
        </w:rPr>
        <w:t>Overview of the first section (Labs 1–7)</w:t>
      </w:r>
    </w:p>
    <w:p w14:paraId="141F728B" w14:textId="77777777" w:rsidR="00BB2E05" w:rsidRPr="00BB2E05" w:rsidRDefault="00BB2E05" w:rsidP="00BB2E05">
      <w:r w:rsidRPr="00BB2E05">
        <w:t xml:space="preserve">In the first part of the course we processed </w:t>
      </w:r>
      <w:r w:rsidRPr="00BB2E05">
        <w:rPr>
          <w:b/>
          <w:bCs/>
        </w:rPr>
        <w:t>GTEx v8 Artery–Coronary</w:t>
      </w:r>
      <w:r w:rsidRPr="00BB2E05">
        <w:t xml:space="preserve"> gene-expression data and built an analysis-ready expression matrix with matched sample metadata. The pipeline included: loading the GTEx expression matrix, applying a log transformation, filtering low-information genes, quantile normalization, matching expression samples to GTEx sample attributes, applying RNA quality filtering (RIN threshold), exploring global structure using PCA, identifying and removing outliers, and finally performing confounder correction to reduce unwanted technical/biological variation before downstream biological analyses. The output of this section is a cleaned expression matrix (genes × samples) and a corresponding metadata table aligned by sample ID.</w:t>
      </w:r>
    </w:p>
    <w:p w14:paraId="1579F259" w14:textId="77777777" w:rsidR="00BB2E05" w:rsidRPr="00BB2E05" w:rsidRDefault="00BB2E05" w:rsidP="00BB2E05">
      <w:pPr>
        <w:rPr>
          <w:b/>
          <w:bCs/>
        </w:rPr>
      </w:pPr>
      <w:r w:rsidRPr="00BB2E05">
        <w:rPr>
          <w:b/>
          <w:bCs/>
        </w:rPr>
        <w:t>Instructor feedback and implemented fixes</w:t>
      </w:r>
    </w:p>
    <w:p w14:paraId="02530E7D" w14:textId="77777777" w:rsidR="00BB2E05" w:rsidRPr="00BB2E05" w:rsidRDefault="00BB2E05" w:rsidP="00BB2E05">
      <w:r w:rsidRPr="00BB2E05">
        <w:t>After the presentation of the first section, the instructor provided several specific comments. We implemented each correction to ensure the analysis and slides reflect the correct statistical interpretation and clearer methodology:</w:t>
      </w:r>
    </w:p>
    <w:p w14:paraId="475F6FD5" w14:textId="77777777" w:rsidR="00BB2E05" w:rsidRPr="00BB2E05" w:rsidRDefault="00BB2E05" w:rsidP="00BB2E05">
      <w:pPr>
        <w:numPr>
          <w:ilvl w:val="0"/>
          <w:numId w:val="1"/>
        </w:numPr>
      </w:pPr>
      <w:r w:rsidRPr="00BB2E05">
        <w:rPr>
          <w:b/>
          <w:bCs/>
        </w:rPr>
        <w:t>Histogram scale before log transformation</w:t>
      </w:r>
      <w:r w:rsidRPr="00BB2E05">
        <w:br/>
        <w:t xml:space="preserve">The original “before log transformation” histogram used a very wide x-axis range up to 100,000 TPM, which compressed the distribution near zero and made the shape unclear. We updated the visualization to zoom into </w:t>
      </w:r>
      <w:r w:rsidRPr="00BB2E05">
        <w:rPr>
          <w:b/>
          <w:bCs/>
        </w:rPr>
        <w:t>0–10,000 TPM</w:t>
      </w:r>
      <w:r w:rsidRPr="00BB2E05">
        <w:t xml:space="preserve"> (and adjusted bins), producing a clearer distribution view while keeping the same underlying data.</w:t>
      </w:r>
    </w:p>
    <w:p w14:paraId="33520E7B" w14:textId="77777777" w:rsidR="00BB2E05" w:rsidRPr="00BB2E05" w:rsidRDefault="00BB2E05" w:rsidP="00BB2E05">
      <w:pPr>
        <w:numPr>
          <w:ilvl w:val="0"/>
          <w:numId w:val="1"/>
        </w:numPr>
      </w:pPr>
      <w:r w:rsidRPr="00BB2E05">
        <w:rPr>
          <w:b/>
          <w:bCs/>
        </w:rPr>
        <w:t>Top 5 gene selection direction (positive vs negative correlation)</w:t>
      </w:r>
      <w:r w:rsidRPr="00BB2E05">
        <w:br/>
        <w:t xml:space="preserve">Originally, the “top 5 genes correlated with SMRIN” were selected by </w:t>
      </w:r>
      <w:r w:rsidRPr="00BB2E05">
        <w:rPr>
          <w:b/>
          <w:bCs/>
        </w:rPr>
        <w:t>absolute correlation |r|</w:t>
      </w:r>
      <w:r w:rsidRPr="00BB2E05">
        <w:t xml:space="preserve">, which allowed strongly negative correlations to be selected and led to plots with trends opposite to the intended interpretation. We fixed this by selecting the </w:t>
      </w:r>
      <w:r w:rsidRPr="00BB2E05">
        <w:rPr>
          <w:b/>
          <w:bCs/>
        </w:rPr>
        <w:t>top 5 genes with the highest positive Pearson correlation (r &gt; 0)</w:t>
      </w:r>
      <w:r w:rsidRPr="00BB2E05">
        <w:t xml:space="preserve"> with </w:t>
      </w:r>
      <w:r w:rsidRPr="00BB2E05">
        <w:rPr>
          <w:b/>
          <w:bCs/>
        </w:rPr>
        <w:t>SMRIN</w:t>
      </w:r>
      <w:r w:rsidRPr="00BB2E05">
        <w:t>, ensuring that the SMRIN-gene scatter plots reflect the expected direction.</w:t>
      </w:r>
    </w:p>
    <w:p w14:paraId="6E0255D4" w14:textId="77777777" w:rsidR="00BB2E05" w:rsidRPr="00BB2E05" w:rsidRDefault="00BB2E05" w:rsidP="00BB2E05">
      <w:pPr>
        <w:numPr>
          <w:ilvl w:val="0"/>
          <w:numId w:val="1"/>
        </w:numPr>
      </w:pPr>
      <w:r w:rsidRPr="00BB2E05">
        <w:rPr>
          <w:b/>
          <w:bCs/>
        </w:rPr>
        <w:t>PCA outliers: focus on PC1 and PC2 only</w:t>
      </w:r>
      <w:r w:rsidRPr="00BB2E05">
        <w:br/>
        <w:t xml:space="preserve">Outlier detection was clarified to rely on the first two principal components. We updated the PCA-based outlier method to flag samples using </w:t>
      </w:r>
      <w:r w:rsidRPr="00BB2E05">
        <w:rPr>
          <w:b/>
          <w:bCs/>
        </w:rPr>
        <w:t>PC1/PC2 only</w:t>
      </w:r>
      <w:r w:rsidRPr="00BB2E05">
        <w:t xml:space="preserve"> (z-score threshold on PC1/PC2), aligning with the instructor’s guidance and keeping the method consistent and interpretable.</w:t>
      </w:r>
    </w:p>
    <w:p w14:paraId="6AA39B5A" w14:textId="77777777" w:rsidR="00BB2E05" w:rsidRPr="00BB2E05" w:rsidRDefault="00BB2E05" w:rsidP="00BB2E05">
      <w:pPr>
        <w:numPr>
          <w:ilvl w:val="0"/>
          <w:numId w:val="1"/>
        </w:numPr>
      </w:pPr>
      <w:r w:rsidRPr="00BB2E05">
        <w:rPr>
          <w:b/>
          <w:bCs/>
        </w:rPr>
        <w:t>Outlier investigation: keep only two clear methods</w:t>
      </w:r>
      <w:r w:rsidRPr="00BB2E05">
        <w:br/>
        <w:t xml:space="preserve">The presentation originally included three outlier approaches (PCA, hierarchical clustering, and a total-expression IQR/boxplot method), resulting in a larger outlier set and a less clear narrative. We revised the pipeline to use only </w:t>
      </w:r>
      <w:r w:rsidRPr="00BB2E05">
        <w:rPr>
          <w:b/>
          <w:bCs/>
        </w:rPr>
        <w:t>two complementary methods</w:t>
      </w:r>
      <w:r w:rsidRPr="00BB2E05">
        <w:t>:</w:t>
      </w:r>
    </w:p>
    <w:p w14:paraId="218BB6EB" w14:textId="77777777" w:rsidR="00BB2E05" w:rsidRPr="00BB2E05" w:rsidRDefault="00BB2E05" w:rsidP="00BB2E05">
      <w:pPr>
        <w:numPr>
          <w:ilvl w:val="0"/>
          <w:numId w:val="2"/>
        </w:numPr>
      </w:pPr>
      <w:r w:rsidRPr="00BB2E05">
        <w:rPr>
          <w:b/>
          <w:bCs/>
        </w:rPr>
        <w:lastRenderedPageBreak/>
        <w:t>PCA-based outliers (PC1/PC2)</w:t>
      </w:r>
    </w:p>
    <w:p w14:paraId="07F52C71" w14:textId="77777777" w:rsidR="00BB2E05" w:rsidRPr="00BB2E05" w:rsidRDefault="00BB2E05" w:rsidP="00BB2E05">
      <w:pPr>
        <w:numPr>
          <w:ilvl w:val="0"/>
          <w:numId w:val="2"/>
        </w:numPr>
      </w:pPr>
      <w:r w:rsidRPr="00BB2E05">
        <w:rPr>
          <w:b/>
          <w:bCs/>
        </w:rPr>
        <w:t>Hierarchical clustering outliers</w:t>
      </w:r>
      <w:r w:rsidRPr="00BB2E05">
        <w:t xml:space="preserve"> (extreme-cut small clusters)</w:t>
      </w:r>
      <w:r w:rsidRPr="00BB2E05">
        <w:br/>
        <w:t>We removed the “total expression boxplot/IQR method” from the final outlier decision to avoid ambiguity and to maintain a clean, explainable outlier definition. After this change, the final outlier list decreased (e.g., from 13 to 4 in the updated run), and all downstream steps were updated accordingly.</w:t>
      </w:r>
    </w:p>
    <w:p w14:paraId="63B6A112" w14:textId="77777777" w:rsidR="00BB2E05" w:rsidRPr="00BB2E05" w:rsidRDefault="00BB2E05" w:rsidP="00BB2E05">
      <w:pPr>
        <w:numPr>
          <w:ilvl w:val="0"/>
          <w:numId w:val="3"/>
        </w:numPr>
      </w:pPr>
      <w:r w:rsidRPr="00BB2E05">
        <w:rPr>
          <w:b/>
          <w:bCs/>
        </w:rPr>
        <w:t>Categorical variables and regression lines in plots (AGE/SEX/DeathType)</w:t>
      </w:r>
      <w:r w:rsidRPr="00BB2E05">
        <w:br/>
        <w:t xml:space="preserve">Regression lines were previously drawn even for variables that are categorical or binned (e.g., SEX, DeathType, and GTEx AGE bins), which can be misleading. We updated the plotting code so that for </w:t>
      </w:r>
      <w:r w:rsidRPr="00BB2E05">
        <w:rPr>
          <w:b/>
          <w:bCs/>
        </w:rPr>
        <w:t>AGE/SEX/DeathType</w:t>
      </w:r>
      <w:r w:rsidRPr="00BB2E05">
        <w:t xml:space="preserve"> the plots show the scatter distribution </w:t>
      </w:r>
      <w:r w:rsidRPr="00BB2E05">
        <w:rPr>
          <w:b/>
          <w:bCs/>
        </w:rPr>
        <w:t>without a regression line</w:t>
      </w:r>
      <w:r w:rsidRPr="00BB2E05">
        <w:t>, while continuous traits still include regression lines.</w:t>
      </w:r>
    </w:p>
    <w:p w14:paraId="704E2E51" w14:textId="77777777" w:rsidR="00BB2E05" w:rsidRPr="00BB2E05" w:rsidRDefault="00BB2E05" w:rsidP="00BB2E05">
      <w:pPr>
        <w:numPr>
          <w:ilvl w:val="0"/>
          <w:numId w:val="3"/>
        </w:numPr>
      </w:pPr>
      <w:r w:rsidRPr="00BB2E05">
        <w:rPr>
          <w:b/>
          <w:bCs/>
        </w:rPr>
        <w:t>Batch handling clarity (“batch is not category”)</w:t>
      </w:r>
      <w:r w:rsidRPr="00BB2E05">
        <w:br/>
        <w:t>The instructor noted that batch should not be described or treated as a categorical one-hot feature in the way it was presented. We removed wording implying “batch one-hot encoding / batch categorical” from the slides and ensured the description matches the final approach used in code and analysis.</w:t>
      </w:r>
    </w:p>
    <w:p w14:paraId="0253C028" w14:textId="77777777" w:rsidR="00BB2E05" w:rsidRPr="00BB2E05" w:rsidRDefault="00BB2E05" w:rsidP="00BB2E05">
      <w:pPr>
        <w:numPr>
          <w:ilvl w:val="0"/>
          <w:numId w:val="3"/>
        </w:numPr>
      </w:pPr>
      <w:r w:rsidRPr="00BB2E05">
        <w:rPr>
          <w:b/>
          <w:bCs/>
        </w:rPr>
        <w:t>Consistency of RIN threshold across code and presentation</w:t>
      </w:r>
      <w:r w:rsidRPr="00BB2E05">
        <w:br/>
        <w:t xml:space="preserve">To avoid confusion, we ensured that the chosen </w:t>
      </w:r>
      <w:r w:rsidRPr="00BB2E05">
        <w:rPr>
          <w:b/>
          <w:bCs/>
        </w:rPr>
        <w:t>RIN threshold</w:t>
      </w:r>
      <w:r w:rsidRPr="00BB2E05">
        <w:t xml:space="preserve"> (e.g., </w:t>
      </w:r>
      <w:r w:rsidRPr="00BB2E05">
        <w:rPr>
          <w:b/>
          <w:bCs/>
        </w:rPr>
        <w:t>RIN &gt; 5.8</w:t>
      </w:r>
      <w:r w:rsidRPr="00BB2E05">
        <w:t xml:space="preserve"> or </w:t>
      </w:r>
      <w:r w:rsidRPr="00BB2E05">
        <w:rPr>
          <w:b/>
          <w:bCs/>
        </w:rPr>
        <w:t>RIN &gt; 6.0</w:t>
      </w:r>
      <w:r w:rsidRPr="00BB2E05">
        <w:t>, depending on the final decision) is stated consistently across the scripts, outputs (sample counts), and presentation slides.</w:t>
      </w:r>
    </w:p>
    <w:p w14:paraId="61FF7334" w14:textId="77777777" w:rsidR="00BB2E05" w:rsidRPr="00BB2E05" w:rsidRDefault="00BB2E05" w:rsidP="00BB2E05">
      <w:pPr>
        <w:rPr>
          <w:b/>
          <w:bCs/>
        </w:rPr>
      </w:pPr>
      <w:r w:rsidRPr="00BB2E05">
        <w:rPr>
          <w:b/>
          <w:bCs/>
        </w:rPr>
        <w:t>Final output of Section 1</w:t>
      </w:r>
    </w:p>
    <w:p w14:paraId="1FF38655" w14:textId="77777777" w:rsidR="00BB2E05" w:rsidRPr="00BB2E05" w:rsidRDefault="00BB2E05" w:rsidP="00BB2E05">
      <w:r w:rsidRPr="00BB2E05">
        <w:t>After applying these fixes, the final Section 1 deliverables are:</w:t>
      </w:r>
    </w:p>
    <w:p w14:paraId="5C753FB2" w14:textId="77777777" w:rsidR="00BB2E05" w:rsidRPr="00BB2E05" w:rsidRDefault="00BB2E05" w:rsidP="00BB2E05">
      <w:pPr>
        <w:numPr>
          <w:ilvl w:val="0"/>
          <w:numId w:val="4"/>
        </w:numPr>
      </w:pPr>
      <w:r w:rsidRPr="00BB2E05">
        <w:t>a cleaned, normalized, and outlier-filtered expression matrix aligned to metadata,</w:t>
      </w:r>
    </w:p>
    <w:p w14:paraId="1919812F" w14:textId="77777777" w:rsidR="00BB2E05" w:rsidRPr="00BB2E05" w:rsidRDefault="00BB2E05" w:rsidP="00BB2E05">
      <w:pPr>
        <w:numPr>
          <w:ilvl w:val="0"/>
          <w:numId w:val="4"/>
        </w:numPr>
      </w:pPr>
      <w:r w:rsidRPr="00BB2E05">
        <w:t>a clear and consistent documentation of decisions (histogram scaling, gene selection direction, two-method outlier removal, correct handling of categorical/binned traits, and consistent thresholds),</w:t>
      </w:r>
    </w:p>
    <w:p w14:paraId="027DA2AC" w14:textId="77777777" w:rsidR="00BB2E05" w:rsidRPr="00BB2E05" w:rsidRDefault="00BB2E05" w:rsidP="00BB2E05">
      <w:pPr>
        <w:numPr>
          <w:ilvl w:val="0"/>
          <w:numId w:val="4"/>
        </w:numPr>
      </w:pPr>
      <w:r w:rsidRPr="00BB2E05">
        <w:t>and corrected presentation text that matches the implemented code and results.</w:t>
      </w:r>
    </w:p>
    <w:p w14:paraId="1BB4F8DD" w14:textId="77777777" w:rsidR="005874EF" w:rsidRDefault="005874EF"/>
    <w:sectPr w:rsidR="00587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3E9"/>
    <w:multiLevelType w:val="multilevel"/>
    <w:tmpl w:val="218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A1FE9"/>
    <w:multiLevelType w:val="multilevel"/>
    <w:tmpl w:val="BC00DC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9152E"/>
    <w:multiLevelType w:val="multilevel"/>
    <w:tmpl w:val="6CCC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B09FB"/>
    <w:multiLevelType w:val="multilevel"/>
    <w:tmpl w:val="25D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5702">
    <w:abstractNumId w:val="2"/>
  </w:num>
  <w:num w:numId="2" w16cid:durableId="307978670">
    <w:abstractNumId w:val="0"/>
  </w:num>
  <w:num w:numId="3" w16cid:durableId="1059280965">
    <w:abstractNumId w:val="1"/>
  </w:num>
  <w:num w:numId="4" w16cid:durableId="165558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EF"/>
    <w:rsid w:val="005874EF"/>
    <w:rsid w:val="00B3367A"/>
    <w:rsid w:val="00BB2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42E4D-7A79-4391-918E-7414EB55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4EF"/>
    <w:rPr>
      <w:rFonts w:eastAsiaTheme="majorEastAsia" w:cstheme="majorBidi"/>
      <w:color w:val="272727" w:themeColor="text1" w:themeTint="D8"/>
    </w:rPr>
  </w:style>
  <w:style w:type="paragraph" w:styleId="Title">
    <w:name w:val="Title"/>
    <w:basedOn w:val="Normal"/>
    <w:next w:val="Normal"/>
    <w:link w:val="TitleChar"/>
    <w:uiPriority w:val="10"/>
    <w:qFormat/>
    <w:rsid w:val="00587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4EF"/>
    <w:pPr>
      <w:spacing w:before="160"/>
      <w:jc w:val="center"/>
    </w:pPr>
    <w:rPr>
      <w:i/>
      <w:iCs/>
      <w:color w:val="404040" w:themeColor="text1" w:themeTint="BF"/>
    </w:rPr>
  </w:style>
  <w:style w:type="character" w:customStyle="1" w:styleId="QuoteChar">
    <w:name w:val="Quote Char"/>
    <w:basedOn w:val="DefaultParagraphFont"/>
    <w:link w:val="Quote"/>
    <w:uiPriority w:val="29"/>
    <w:rsid w:val="005874EF"/>
    <w:rPr>
      <w:i/>
      <w:iCs/>
      <w:color w:val="404040" w:themeColor="text1" w:themeTint="BF"/>
    </w:rPr>
  </w:style>
  <w:style w:type="paragraph" w:styleId="ListParagraph">
    <w:name w:val="List Paragraph"/>
    <w:basedOn w:val="Normal"/>
    <w:uiPriority w:val="34"/>
    <w:qFormat/>
    <w:rsid w:val="005874EF"/>
    <w:pPr>
      <w:ind w:left="720"/>
      <w:contextualSpacing/>
    </w:pPr>
  </w:style>
  <w:style w:type="character" w:styleId="IntenseEmphasis">
    <w:name w:val="Intense Emphasis"/>
    <w:basedOn w:val="DefaultParagraphFont"/>
    <w:uiPriority w:val="21"/>
    <w:qFormat/>
    <w:rsid w:val="005874EF"/>
    <w:rPr>
      <w:i/>
      <w:iCs/>
      <w:color w:val="0F4761" w:themeColor="accent1" w:themeShade="BF"/>
    </w:rPr>
  </w:style>
  <w:style w:type="paragraph" w:styleId="IntenseQuote">
    <w:name w:val="Intense Quote"/>
    <w:basedOn w:val="Normal"/>
    <w:next w:val="Normal"/>
    <w:link w:val="IntenseQuoteChar"/>
    <w:uiPriority w:val="30"/>
    <w:qFormat/>
    <w:rsid w:val="00587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4EF"/>
    <w:rPr>
      <w:i/>
      <w:iCs/>
      <w:color w:val="0F4761" w:themeColor="accent1" w:themeShade="BF"/>
    </w:rPr>
  </w:style>
  <w:style w:type="character" w:styleId="IntenseReference">
    <w:name w:val="Intense Reference"/>
    <w:basedOn w:val="DefaultParagraphFont"/>
    <w:uiPriority w:val="32"/>
    <w:qFormat/>
    <w:rsid w:val="00587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Khoury</dc:creator>
  <cp:keywords/>
  <dc:description/>
  <cp:lastModifiedBy>Anas Khoury</cp:lastModifiedBy>
  <cp:revision>2</cp:revision>
  <dcterms:created xsi:type="dcterms:W3CDTF">2026-02-26T03:35:00Z</dcterms:created>
  <dcterms:modified xsi:type="dcterms:W3CDTF">2026-02-26T03:36:00Z</dcterms:modified>
</cp:coreProperties>
</file>