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65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ID</w:t>
            </w:r>
          </w:p>
        </w:tc>
        <w:tc>
          <w:tcPr>
            <w:tcW w:w="1750" w:type="dxa"/>
          </w:tcPr>
          <w:p>
            <w:pPr/>
            <w:r>
              <w:rPr/>
              <w:t xml:space="preserve">research ID</w:t>
            </w:r>
          </w:p>
        </w:tc>
        <w:tc>
          <w:tcPr>
            <w:tcW w:w="175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6550" w:type="dxa"/>
          </w:tcPr>
          <w:p>
            <w:pPr/>
            <w:r>
              <w:rPr/>
              <w:t xml:space="preserve">Title</w:t>
            </w:r>
          </w:p>
        </w:tc>
        <w:tc>
          <w:tcPr>
            <w:tcW w:w="1750" w:type="dxa"/>
          </w:tcPr>
          <w:p>
            <w:pPr/>
            <w:r>
              <w:rPr/>
              <w:t xml:space="preserve">ISSN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Deserved amount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Number of authors</w:t>
            </w:r>
          </w:p>
        </w:tc>
        <w:tc>
          <w:tcPr>
            <w:tcW w:w="1750" w:type="dxa"/>
          </w:tcPr>
          <w:p>
            <w:pPr/>
            <w:r>
              <w:rPr/>
              <w:t xml:space="preserve">Scopus</w:t>
            </w:r>
          </w:p>
        </w:tc>
        <w:tc>
          <w:tcPr>
            <w:tcW w:w="1750" w:type="dxa"/>
          </w:tcPr>
          <w:p>
            <w:pPr/>
            <w:r>
              <w:rPr/>
              <w:t xml:space="preserve">Clarivate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</w:t>
            </w:r>
          </w:p>
        </w:tc>
        <w:tc>
          <w:tcPr>
            <w:tcW w:w="1750" w:type="dxa"/>
          </w:tcPr>
          <w:p>
            <w:pPr/>
            <w:r>
              <w:rPr/>
              <w:t xml:space="preserve">1070</w:t>
            </w:r>
          </w:p>
        </w:tc>
        <w:tc>
          <w:tcPr>
            <w:tcW w:w="1750" w:type="dxa"/>
          </w:tcPr>
          <w:p>
            <w:pPr/>
            <w:r>
              <w:rPr/>
              <w:t xml:space="preserve">Information</w:t>
            </w:r>
          </w:p>
        </w:tc>
        <w:tc>
          <w:tcPr>
            <w:tcW w:w="6550" w:type="dxa"/>
          </w:tcPr>
          <w:p>
            <w:pPr/>
            <w:r>
              <w:rPr/>
              <w:t xml:space="preserve"> Choosing mutation and crossover ratios for genetic algorithms—a review with a new dynamic approach</w:t>
            </w:r>
          </w:p>
        </w:tc>
        <w:tc>
          <w:tcPr>
            <w:tcW w:w="1750" w:type="dxa"/>
          </w:tcPr>
          <w:p>
            <w:pPr/>
            <w:r>
              <w:rPr/>
              <w:t xml:space="preserve">20782489</w:t>
            </w:r>
          </w:p>
        </w:tc>
        <w:tc>
          <w:tcPr>
            <w:tcW w:w="1750" w:type="dxa"/>
          </w:tcPr>
          <w:p>
            <w:pPr/>
            <w:r>
              <w:rPr/>
              <w:t xml:space="preserve">700</w:t>
            </w:r>
          </w:p>
        </w:tc>
        <w:tc>
          <w:tcPr>
            <w:tcW w:w="1750" w:type="dxa"/>
          </w:tcPr>
          <w:p>
            <w:pPr/>
            <w:r>
              <w:rPr/>
              <w:t xml:space="preserve">116.667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  <w:tc>
          <w:tcPr>
            <w:tcW w:w="1750" w:type="dxa"/>
          </w:tcPr>
          <w:p>
            <w:pPr/>
            <w:r>
              <w:rPr/>
              <w:t xml:space="preserve">Q3</w:t>
            </w:r>
          </w:p>
        </w:tc>
        <w:tc>
          <w:tcPr>
            <w:tcW w:w="1750" w:type="dxa"/>
          </w:tcPr>
          <w:p>
            <w:pPr/>
            <w:r>
              <w:rPr/>
              <w:t xml:space="preserve">Yes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2023-01-23T08:34:03+01:00</dcterms:created>
  <dcterms:modified xsi:type="dcterms:W3CDTF">2023-01-23T08:34:03+01:00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