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34"/>
          <w:szCs w:val="34"/>
        </w:rPr>
        <w:t xml:space="preserve">Does Verbal Confidence Track Mathematical Correctness?</w:t>
      </w:r>
    </w:p>
    <w:p>
      <w:pPr>
        <w:spacing w:after="240" w:line="276"/>
        <w:jc w:val="center"/>
      </w:pPr>
      <w:r>
        <w:rPr>
          <w:rFonts w:ascii="Times New Roman" w:cs="Times New Roman" w:eastAsia="Times New Roman" w:hAnsi="Times New Roman"/>
          <w:i/>
          <w:iCs/>
          <w:sz w:val="26"/>
          <w:szCs w:val="26"/>
        </w:rPr>
        <w:t xml:space="preserve">An Exploratory Study of Qwen3-1.7B on Uniform Convergence Problems</w:t>
      </w:r>
    </w:p>
    <w:p>
      <w:pPr>
        <w:spacing w:after="40"/>
        <w:jc w:val="center"/>
      </w:pPr>
      <w:r>
        <w:rPr>
          <w:rFonts w:ascii="Times New Roman" w:cs="Times New Roman" w:eastAsia="Times New Roman" w:hAnsi="Times New Roman"/>
          <w:b/>
          <w:bCs/>
          <w:sz w:val="24"/>
          <w:szCs w:val="24"/>
        </w:rPr>
        <w:t xml:space="preserve">Anas Shams</w:t>
      </w:r>
    </w:p>
    <w:p>
      <w:pPr>
        <w:pBdr>
          <w:bottom w:val="single" w:color="000000" w:sz="6" w:space="8"/>
        </w:pBdr>
        <w:spacing w:after="240"/>
        <w:jc w:val="center"/>
      </w:pPr>
      <w:r>
        <w:rPr>
          <w:rFonts w:ascii="Times New Roman" w:cs="Times New Roman" w:eastAsia="Times New Roman" w:hAnsi="Times New Roman"/>
          <w:sz w:val="24"/>
          <w:szCs w:val="24"/>
        </w:rPr>
        <w:t xml:space="preserve">Faculty of Science, Capital University, Egypt</w:t>
      </w:r>
    </w:p>
    <w:p>
      <w:pPr>
        <w:keepNext/>
        <w:spacing w:after="120" w:before="120"/>
        <w:jc w:val="center"/>
      </w:pPr>
      <w:r>
        <w:rPr>
          <w:rFonts w:ascii="Times New Roman" w:cs="Times New Roman" w:eastAsia="Times New Roman" w:hAnsi="Times New Roman"/>
          <w:b/>
          <w:bCs/>
          <w:sz w:val="26"/>
          <w:szCs w:val="26"/>
        </w:rPr>
        <w:t xml:space="preserve">Abstract</w:t>
      </w:r>
    </w:p>
    <w:p>
      <w:pPr>
        <w:spacing w:after="160" w:line="276"/>
        <w:jc w:val="both"/>
      </w:pPr>
      <w:r>
        <w:rPr>
          <w:rFonts w:ascii="Times New Roman" w:cs="Times New Roman" w:eastAsia="Times New Roman" w:hAnsi="Times New Roman"/>
          <w:sz w:val="24"/>
          <w:szCs w:val="24"/>
        </w:rPr>
        <w:t xml:space="preserve">Large language models (LLMs) can provide answers to mathematical questions while expressing different levels of verbal confidence. However, the relationship between these confidence statements and the actual correctness of their answers remains an important question for evaluating the reliability of model-generated mathematical reasoning. This study investigates whether verbal confidence is associated with mathematical correctness in a small evaluation of Qwen3-1.7B on problems involving uniform convergence.</w:t>
      </w:r>
    </w:p>
    <w:p>
      <w:pPr>
        <w:spacing w:after="160" w:line="276"/>
        <w:jc w:val="both"/>
      </w:pPr>
      <w:r>
        <w:rPr>
          <w:rFonts w:ascii="Times New Roman" w:cs="Times New Roman" w:eastAsia="Times New Roman" w:hAnsi="Times New Roman"/>
          <w:sz w:val="24"/>
          <w:szCs w:val="24"/>
        </w:rPr>
        <w:t xml:space="preserve">A dataset of 25 mathematical claims and proof-related cases was evaluated using a consistent follow-up instruction that requested a verdict, a brief mathematical explanation, a confidence label, and a concise justification for that confidence. The model was evaluated using deterministic generation settings. Verdict correctness was compared against reference verdicts, while the explanations were separately classified as correct, partially incorrect, or incorrect. Spearman’s rank correlation was used to examine the association between ordinal confidence labels and verdict correctness.</w:t>
      </w:r>
    </w:p>
    <w:p>
      <w:pPr>
        <w:spacing w:after="160" w:line="276"/>
        <w:jc w:val="both"/>
      </w:pPr>
      <w:r>
        <w:rPr>
          <w:rFonts w:ascii="Times New Roman" w:cs="Times New Roman" w:eastAsia="Times New Roman" w:hAnsi="Times New Roman"/>
          <w:sz w:val="24"/>
          <w:szCs w:val="24"/>
        </w:rPr>
        <w:t xml:space="preserve">The model produced 16 correct verdicts out of 25 cases, corresponding to an accuracy of 64%. The observed Spearman correlation was 0.0281, with a p-value of 0.8940, indicating no statistically significant monotonic association in this sample. A preliminary review of mathematical explanations classified 8 as correct, 8 as partially incorrect, and 9 as incorrect.</w:t>
      </w:r>
    </w:p>
    <w:p>
      <w:pPr>
        <w:spacing w:after="160" w:line="276"/>
        <w:jc w:val="both"/>
      </w:pPr>
      <w:r>
        <w:rPr>
          <w:rFonts w:ascii="Times New Roman" w:cs="Times New Roman" w:eastAsia="Times New Roman" w:hAnsi="Times New Roman"/>
          <w:sz w:val="24"/>
          <w:szCs w:val="24"/>
        </w:rPr>
        <w:t xml:space="preserve">These findings suggest that verbal confidence did not meaningfully track verdict correctness in the evaluated sample. However, the small, selected dataset and the preliminary nature of the reasoning annotations limit the conclusions. The results should therefore be interpreted as exploratory rather than as evidence about all mathematical tasks or language models.</w:t>
      </w:r>
    </w:p>
    <w:p>
      <w:pPr>
        <w:spacing w:after="160" w:line="276"/>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Mathematical Reasoning, Verbal Confidence, Uniform Convergence, Model Evaluation, Spearman Correlation.</w:t>
      </w:r>
    </w:p>
    <w:p>
      <w:pPr>
        <w:pStyle w:val="Heading1"/>
      </w:pPr>
      <w:r>
        <w:t xml:space="preserve">1. Introduction</w:t>
      </w:r>
    </w:p>
    <w:p>
      <w:pPr>
        <w:spacing w:after="160" w:line="276"/>
        <w:jc w:val="both"/>
      </w:pPr>
      <w:r>
        <w:rPr>
          <w:rFonts w:ascii="Times New Roman" w:cs="Times New Roman" w:eastAsia="Times New Roman" w:hAnsi="Times New Roman"/>
          <w:sz w:val="24"/>
          <w:szCs w:val="24"/>
        </w:rPr>
        <w:t xml:space="preserve">Large language models are increasingly used to explain mathematical concepts, evaluate proofs, and judge whether mathematical statements are correct. Their answers often contain not only a conclusion but also an explanation and an indication of confidence.</w:t>
      </w:r>
    </w:p>
    <w:p>
      <w:pPr>
        <w:spacing w:after="160" w:line="276"/>
        <w:jc w:val="both"/>
      </w:pPr>
      <w:r>
        <w:rPr>
          <w:rFonts w:ascii="Times New Roman" w:cs="Times New Roman" w:eastAsia="Times New Roman" w:hAnsi="Times New Roman"/>
          <w:sz w:val="24"/>
          <w:szCs w:val="24"/>
        </w:rPr>
        <w:t xml:space="preserve">Confidence can be useful when interpreting a model’s output. However, a confident statement is not necessarily a correct one, and a cautious statement is not necessarily incorrect. Consequently, evaluating the relationship between confidence and correctness is important when considering how users should interpret model-generated mathematical answers.</w:t>
      </w:r>
    </w:p>
    <w:p>
      <w:pPr>
        <w:spacing w:after="160" w:line="276"/>
        <w:jc w:val="both"/>
      </w:pPr>
      <w:r>
        <w:rPr>
          <w:rFonts w:ascii="Times New Roman" w:cs="Times New Roman" w:eastAsia="Times New Roman" w:hAnsi="Times New Roman"/>
          <w:sz w:val="24"/>
          <w:szCs w:val="24"/>
        </w:rPr>
        <w:t xml:space="preserve">This issue is particularly relevant to mathematical analysis, where a small error in a bound, a quantifier, or the definition of convergence can change the validity of an argument. Uniform convergence provides a useful setting for investigating such errors because it requires a sequence of functions to satisfy a condition uniformly over an entire domain, rather than separately at each point.</w:t>
      </w:r>
    </w:p>
    <w:p>
      <w:pPr>
        <w:keepNext/>
        <w:spacing w:after="0" w:line="276"/>
        <w:jc w:val="both"/>
      </w:pPr>
      <w:r>
        <w:rPr>
          <w:rFonts w:ascii="Times New Roman" w:cs="Times New Roman" w:eastAsia="Times New Roman" w:hAnsi="Times New Roman"/>
          <w:sz w:val="24"/>
          <w:szCs w:val="24"/>
        </w:rPr>
        <w:t xml:space="preserve">For a sequence of functions </w:t>
      </w:r>
      <m:oMath>
        <m:sSub>
          <m:sSubPr/>
          <m:e>
            <m:r>
              <m:t>f</m:t>
            </m:r>
          </m:e>
          <m:sub>
            <m:r>
              <m:t>n</m:t>
            </m:r>
          </m:sub>
        </m:sSub>
      </m:oMath>
      <w:r>
        <w:rPr>
          <w:rFonts w:ascii="Times New Roman" w:cs="Times New Roman" w:eastAsia="Times New Roman" w:hAnsi="Times New Roman"/>
          <w:sz w:val="24"/>
          <w:szCs w:val="24"/>
        </w:rPr>
        <w:t xml:space="preserve"> and a proposed limit function </w:t>
      </w:r>
      <m:oMath>
        <m:r>
          <m:t>f</m:t>
        </m:r>
      </m:oMath>
      <w:r>
        <w:rPr>
          <w:rFonts w:ascii="Times New Roman" w:cs="Times New Roman" w:eastAsia="Times New Roman" w:hAnsi="Times New Roman"/>
          <w:sz w:val="24"/>
          <w:szCs w:val="24"/>
        </w:rPr>
        <w:t xml:space="preserve">, uniform convergence on a domain </w:t>
      </w:r>
      <m:oMath>
        <m:r>
          <m:t>D</m:t>
        </m:r>
      </m:oMath>
      <w:r>
        <w:rPr>
          <w:rFonts w:ascii="Times New Roman" w:cs="Times New Roman" w:eastAsia="Times New Roman" w:hAnsi="Times New Roman"/>
          <w:sz w:val="24"/>
          <w:szCs w:val="24"/>
        </w:rPr>
        <w:t xml:space="preserve"> requires that, for every </w:t>
      </w:r>
      <m:oMath>
        <m:r>
          <m:t>ε&gt;0</m:t>
        </m:r>
      </m:oMath>
      <w:r>
        <w:rPr>
          <w:rFonts w:ascii="Times New Roman" w:cs="Times New Roman" w:eastAsia="Times New Roman" w:hAnsi="Times New Roman"/>
          <w:sz w:val="24"/>
          <w:szCs w:val="24"/>
        </w:rPr>
        <w:t xml:space="preserve">, there exists a positive integer </w:t>
      </w:r>
      <m:oMath>
        <m:r>
          <m:t>N</m:t>
        </m:r>
      </m:oMath>
      <w:r>
        <w:rPr>
          <w:rFonts w:ascii="Times New Roman" w:cs="Times New Roman" w:eastAsia="Times New Roman" w:hAnsi="Times New Roman"/>
          <w:sz w:val="24"/>
          <w:szCs w:val="24"/>
        </w:rPr>
        <w:t xml:space="preserve"> such that, for all </w:t>
      </w:r>
      <m:oMath>
        <m:r>
          <m:t>n≥N</m:t>
        </m:r>
      </m:oMath>
      <w:r>
        <w:rPr>
          <w:rFonts w:ascii="Times New Roman" w:cs="Times New Roman" w:eastAsia="Times New Roman" w:hAnsi="Times New Roman"/>
          <w:sz w:val="24"/>
          <w:szCs w:val="24"/>
        </w:rPr>
        <w:t xml:space="preserve"> and every </w:t>
      </w:r>
      <m:oMath>
        <m:r>
          <m:t>x∈D</m:t>
        </m:r>
      </m:oMath>
      <w:r>
        <w:rPr>
          <w:rFonts w:ascii="Times New Roman" w:cs="Times New Roman" w:eastAsia="Times New Roman" w:hAnsi="Times New Roman"/>
          <w:sz w:val="24"/>
          <w:szCs w:val="24"/>
        </w:rPr>
        <w:t xml:space="preserve">:</w:t>
      </w:r>
    </w:p>
    <w:p>
      <w:pPr>
        <w:tabs>
          <w:tab w:val="center" w:pos="4680"/>
          <w:tab w:val="right" w:pos="9360"/>
        </w:tabs>
        <w:spacing w:after="200" w:before="120" w:line="276"/>
      </w:pPr>
      <w:r>
        <w:rPr>
          <w:rFonts w:ascii="Times New Roman" w:cs="Times New Roman" w:eastAsia="Times New Roman" w:hAnsi="Times New Roman"/>
          <w:sz w:val="24"/>
          <w:szCs w:val="24"/>
        </w:rPr>
        <w:t xml:space="preserve">	</w:t>
      </w:r>
      <m:oMath>
        <m:r>
          <m:t>|</m:t>
        </m:r>
        <m:sSub>
          <m:sSubPr/>
          <m:e>
            <m:r>
              <m:t>f</m:t>
            </m:r>
          </m:e>
          <m:sub>
            <m:r>
              <m:t>n</m:t>
            </m:r>
          </m:sub>
        </m:sSub>
        <m:r>
          <m:t>(x)−f(x)|&lt;ε,  ∀n≥N, ∀x∈D</m:t>
        </m:r>
      </m:oMath>
      <w:r>
        <w:rPr>
          <w:rFonts w:ascii="Times New Roman" w:cs="Times New Roman" w:eastAsia="Times New Roman" w:hAnsi="Times New Roman"/>
          <w:sz w:val="24"/>
          <w:szCs w:val="24"/>
        </w:rPr>
        <w:t xml:space="preserve">	(1)</w:t>
      </w:r>
    </w:p>
    <w:p>
      <w:pPr>
        <w:spacing w:after="160" w:line="276"/>
        <w:jc w:val="both"/>
      </w:pPr>
      <w:r>
        <w:rPr>
          <w:rFonts w:ascii="Times New Roman" w:cs="Times New Roman" w:eastAsia="Times New Roman" w:hAnsi="Times New Roman"/>
          <w:sz w:val="24"/>
          <w:szCs w:val="24"/>
        </w:rPr>
        <w:t xml:space="preserve">The same </w:t>
      </w:r>
      <m:oMath>
        <m:r>
          <m:t>N</m:t>
        </m:r>
      </m:oMath>
      <w:r>
        <w:rPr>
          <w:rFonts w:ascii="Times New Roman" w:cs="Times New Roman" w:eastAsia="Times New Roman" w:hAnsi="Times New Roman"/>
          <w:sz w:val="24"/>
          <w:szCs w:val="24"/>
        </w:rPr>
        <w:t xml:space="preserve"> must work for all points in the domain </w:t>
      </w:r>
      <m:oMath>
        <m:r>
          <m:t>D</m:t>
        </m:r>
      </m:oMath>
      <w:r>
        <w:rPr>
          <w:rFonts w:ascii="Times New Roman" w:cs="Times New Roman" w:eastAsia="Times New Roman" w:hAnsi="Times New Roman"/>
          <w:sz w:val="24"/>
          <w:szCs w:val="24"/>
        </w:rPr>
        <w:t xml:space="preserve">. This distinguishes uniform convergence from pointwise convergence, in which the required index </w:t>
      </w:r>
      <m:oMath>
        <m:r>
          <m:t>N</m:t>
        </m:r>
      </m:oMath>
      <w:r>
        <w:rPr>
          <w:rFonts w:ascii="Times New Roman" w:cs="Times New Roman" w:eastAsia="Times New Roman" w:hAnsi="Times New Roman"/>
          <w:sz w:val="24"/>
          <w:szCs w:val="24"/>
        </w:rPr>
        <w:t xml:space="preserve"> may depend on </w:t>
      </w:r>
      <m:oMath>
        <m:r>
          <m:t>x</m:t>
        </m:r>
      </m:oMath>
      <w:r>
        <w:rPr>
          <w:rFonts w:ascii="Times New Roman" w:cs="Times New Roman" w:eastAsia="Times New Roman" w:hAnsi="Times New Roman"/>
          <w:sz w:val="24"/>
          <w:szCs w:val="24"/>
        </w:rPr>
        <w:t xml:space="preserve"> as well as on </w:t>
      </w:r>
      <m:oMath>
        <m:r>
          <m:t>ε</m:t>
        </m:r>
      </m:oMath>
      <w:r>
        <w:rPr>
          <w:rFonts w:ascii="Times New Roman" w:cs="Times New Roman" w:eastAsia="Times New Roman" w:hAnsi="Times New Roman"/>
          <w:sz w:val="24"/>
          <w:szCs w:val="24"/>
        </w:rPr>
        <w:t xml:space="preserve"> (Rudin, 1976).</w:t>
      </w:r>
    </w:p>
    <w:p>
      <w:pPr>
        <w:spacing w:after="160" w:line="276"/>
        <w:jc w:val="both"/>
      </w:pPr>
      <w:r>
        <w:rPr>
          <w:rFonts w:ascii="Times New Roman" w:cs="Times New Roman" w:eastAsia="Times New Roman" w:hAnsi="Times New Roman"/>
          <w:sz w:val="24"/>
          <w:szCs w:val="24"/>
        </w:rPr>
        <w:t xml:space="preserve">This study examines whether a model’s verbal confidence labels correspond to its correctness when judging claims and proofs related to uniform convergence.</w:t>
      </w:r>
    </w:p>
    <w:p>
      <w:pPr>
        <w:pStyle w:val="Heading2"/>
      </w:pPr>
      <w:r>
        <w:t xml:space="preserve">1.1 Research Problem</w:t>
      </w:r>
    </w:p>
    <w:p>
      <w:pPr>
        <w:spacing w:after="160" w:line="276"/>
        <w:jc w:val="both"/>
      </w:pPr>
      <w:r>
        <w:rPr>
          <w:rFonts w:ascii="Times New Roman" w:cs="Times New Roman" w:eastAsia="Times New Roman" w:hAnsi="Times New Roman"/>
          <w:sz w:val="24"/>
          <w:szCs w:val="24"/>
        </w:rPr>
        <w:t xml:space="preserve">The central problem is whether the confidence expressed by a language model provides useful information about the correctness of its mathematical verdicts.</w:t>
      </w:r>
    </w:p>
    <w:p>
      <w:pPr>
        <w:spacing w:after="160" w:line="276"/>
        <w:jc w:val="both"/>
      </w:pPr>
      <w:r>
        <w:rPr>
          <w:rFonts w:ascii="Times New Roman" w:cs="Times New Roman" w:eastAsia="Times New Roman" w:hAnsi="Times New Roman"/>
          <w:sz w:val="24"/>
          <w:szCs w:val="24"/>
        </w:rPr>
        <w:t xml:space="preserve">A model may identify the correct verdict while providing an inaccurate explanation. Conversely, it may reach an incorrect verdict while mentioning a relevant mathematical concept. For this reason, verdict correctness and explanation quality should be evaluated separately.</w:t>
      </w:r>
    </w:p>
    <w:p>
      <w:pPr>
        <w:pStyle w:val="Heading2"/>
      </w:pPr>
      <w:r>
        <w:t xml:space="preserve">1.2 Research Aim</w:t>
      </w:r>
    </w:p>
    <w:p>
      <w:pPr>
        <w:spacing w:after="160" w:line="276"/>
        <w:jc w:val="both"/>
      </w:pPr>
      <w:r>
        <w:rPr>
          <w:rFonts w:ascii="Times New Roman" w:cs="Times New Roman" w:eastAsia="Times New Roman" w:hAnsi="Times New Roman"/>
          <w:sz w:val="24"/>
          <w:szCs w:val="24"/>
        </w:rPr>
        <w:t xml:space="preserve">The aim of this study is to conduct an exploratory evaluation of the relationship between verbal confidence and mathematical verdict correctness in Qwen3-1.7B.</w:t>
      </w:r>
    </w:p>
    <w:p>
      <w:pPr>
        <w:pStyle w:val="Heading2"/>
      </w:pPr>
      <w:r>
        <w:t xml:space="preserve">1.3 Research Questions</w:t>
      </w:r>
    </w:p>
    <w:p>
      <w:pPr>
        <w:keepNext/>
        <w:spacing w:after="160" w:line="276"/>
        <w:jc w:val="both"/>
      </w:pPr>
      <w:r>
        <w:rPr>
          <w:rFonts w:ascii="Times New Roman" w:cs="Times New Roman" w:eastAsia="Times New Roman" w:hAnsi="Times New Roman"/>
          <w:sz w:val="24"/>
          <w:szCs w:val="24"/>
        </w:rPr>
        <w:t xml:space="preserve">The study addresses the following questions:</w:t>
      </w:r>
    </w:p>
    <w:p>
      <w:pPr>
        <w:pStyle w:val="ListParagraph"/>
        <w:numPr>
          <w:ilvl w:val="0"/>
          <w:numId w:val="2"/>
        </w:numPr>
        <w:spacing w:after="80" w:line="276"/>
        <w:jc w:val="left"/>
      </w:pPr>
      <w:r>
        <w:rPr>
          <w:rFonts w:ascii="Times New Roman" w:cs="Times New Roman" w:eastAsia="Times New Roman" w:hAnsi="Times New Roman"/>
          <w:sz w:val="24"/>
          <w:szCs w:val="24"/>
        </w:rPr>
        <w:t xml:space="preserve">How accurately does Qwen3-1.7B classify the selected uniform convergence claims and proof-related cases?</w:t>
      </w:r>
    </w:p>
    <w:p>
      <w:pPr>
        <w:pStyle w:val="ListParagraph"/>
        <w:numPr>
          <w:ilvl w:val="0"/>
          <w:numId w:val="2"/>
        </w:numPr>
        <w:spacing w:after="80" w:line="276"/>
        <w:jc w:val="left"/>
      </w:pPr>
      <w:r>
        <w:rPr>
          <w:rFonts w:ascii="Times New Roman" w:cs="Times New Roman" w:eastAsia="Times New Roman" w:hAnsi="Times New Roman"/>
          <w:sz w:val="24"/>
          <w:szCs w:val="24"/>
        </w:rPr>
        <w:t xml:space="preserve">Is higher verbal confidence associated with a higher probability of a correct verdict?</w:t>
      </w:r>
    </w:p>
    <w:p>
      <w:pPr>
        <w:pStyle w:val="ListParagraph"/>
        <w:numPr>
          <w:ilvl w:val="0"/>
          <w:numId w:val="2"/>
        </w:numPr>
        <w:spacing w:after="80" w:line="276"/>
        <w:jc w:val="left"/>
      </w:pPr>
      <w:r>
        <w:rPr>
          <w:rFonts w:ascii="Times New Roman" w:cs="Times New Roman" w:eastAsia="Times New Roman" w:hAnsi="Times New Roman"/>
          <w:sz w:val="24"/>
          <w:szCs w:val="24"/>
        </w:rPr>
        <w:t xml:space="preserve">How often do the model’s mathematical explanations contain errors, even when considered separately from the verdict?</w:t>
      </w:r>
    </w:p>
    <w:p>
      <w:pPr>
        <w:pStyle w:val="ListParagraph"/>
        <w:numPr>
          <w:ilvl w:val="0"/>
          <w:numId w:val="2"/>
        </w:numPr>
        <w:spacing w:after="80" w:line="276"/>
        <w:jc w:val="left"/>
      </w:pPr>
      <w:r>
        <w:rPr>
          <w:rFonts w:ascii="Times New Roman" w:cs="Times New Roman" w:eastAsia="Times New Roman" w:hAnsi="Times New Roman"/>
          <w:sz w:val="24"/>
          <w:szCs w:val="24"/>
        </w:rPr>
        <w:t xml:space="preserve">What limitations should be considered when using verbal confidence to interpret mathematical answers from a language model?</w:t>
      </w:r>
    </w:p>
    <w:p>
      <w:pPr>
        <w:pStyle w:val="Heading2"/>
      </w:pPr>
      <w:r>
        <w:t xml:space="preserve">1.4 Research Hypothesis</w:t>
      </w:r>
    </w:p>
    <w:p>
      <w:pPr>
        <w:spacing w:after="160" w:line="276"/>
        <w:jc w:val="both"/>
      </w:pPr>
      <w:r>
        <w:rPr>
          <w:rFonts w:ascii="Times New Roman" w:cs="Times New Roman" w:eastAsia="Times New Roman" w:hAnsi="Times New Roman"/>
          <w:sz w:val="24"/>
          <w:szCs w:val="24"/>
        </w:rPr>
        <w:t xml:space="preserve">The primary hypothesis is that higher verbal confidence is associated with greater verdict correctness.</w:t>
      </w:r>
    </w:p>
    <w:p>
      <w:pPr>
        <w:spacing w:after="160" w:line="276"/>
        <w:jc w:val="both"/>
      </w:pPr>
      <w:r>
        <w:rPr>
          <w:rFonts w:ascii="Times New Roman" w:cs="Times New Roman" w:eastAsia="Times New Roman" w:hAnsi="Times New Roman"/>
          <w:sz w:val="24"/>
          <w:szCs w:val="24"/>
        </w:rPr>
        <w:t xml:space="preserve">The corresponding null hypothesis is that there is no monotonic association between the ordinal confidence labels and verdict correctness in the evaluated sample.</w:t>
      </w:r>
    </w:p>
    <w:p>
      <w:pPr>
        <w:spacing w:after="160" w:line="276"/>
        <w:jc w:val="both"/>
      </w:pPr>
      <w:r>
        <w:rPr>
          <w:rFonts w:ascii="Times New Roman" w:cs="Times New Roman" w:eastAsia="Times New Roman" w:hAnsi="Times New Roman"/>
          <w:sz w:val="24"/>
          <w:szCs w:val="24"/>
        </w:rPr>
        <w:t xml:space="preserve">Because the study is exploratory and uses a small dataset, its findings are not intended to establish a universal relationship between confidence and correctness.</w:t>
      </w:r>
    </w:p>
    <w:p>
      <w:pPr>
        <w:pStyle w:val="Heading1"/>
      </w:pPr>
      <w:r>
        <w:t xml:space="preserve">2. Background</w:t>
      </w:r>
    </w:p>
    <w:p>
      <w:pPr>
        <w:pStyle w:val="Heading2"/>
      </w:pPr>
      <w:r>
        <w:t xml:space="preserve">2.1 Pointwise and Uniform Convergence</w:t>
      </w:r>
    </w:p>
    <w:p>
      <w:pPr>
        <w:spacing w:after="160" w:line="276"/>
        <w:jc w:val="both"/>
      </w:pPr>
      <w:r>
        <w:rPr>
          <w:rFonts w:ascii="Times New Roman" w:cs="Times New Roman" w:eastAsia="Times New Roman" w:hAnsi="Times New Roman"/>
          <w:sz w:val="24"/>
          <w:szCs w:val="24"/>
        </w:rPr>
        <w:t xml:space="preserve">Pointwise convergence means that, for each fixed </w:t>
      </w:r>
      <m:oMath>
        <m:r>
          <m:t>x∈D</m:t>
        </m:r>
      </m:oMath>
      <w:r>
        <w:rPr>
          <w:rFonts w:ascii="Times New Roman" w:cs="Times New Roman" w:eastAsia="Times New Roman" w:hAnsi="Times New Roman"/>
          <w:sz w:val="24"/>
          <w:szCs w:val="24"/>
        </w:rPr>
        <w:t xml:space="preserve">, the sequence </w:t>
      </w:r>
      <m:oMath>
        <m:sSub>
          <m:sSubPr/>
          <m:e>
            <m:r>
              <m:t>f</m:t>
            </m:r>
          </m:e>
          <m:sub>
            <m:r>
              <m:t>n</m:t>
            </m:r>
          </m:sub>
        </m:sSub>
        <m:r>
          <m:t>(x)</m:t>
        </m:r>
      </m:oMath>
      <w:r>
        <w:rPr>
          <w:rFonts w:ascii="Times New Roman" w:cs="Times New Roman" w:eastAsia="Times New Roman" w:hAnsi="Times New Roman"/>
          <w:sz w:val="24"/>
          <w:szCs w:val="24"/>
        </w:rPr>
        <w:t xml:space="preserve"> converges to </w:t>
      </w:r>
      <m:oMath>
        <m:r>
          <m:t>f(x)</m:t>
        </m:r>
      </m:oMath>
      <w:r>
        <w:rPr>
          <w:rFonts w:ascii="Times New Roman" w:cs="Times New Roman" w:eastAsia="Times New Roman" w:hAnsi="Times New Roman"/>
          <w:sz w:val="24"/>
          <w:szCs w:val="24"/>
        </w:rPr>
        <w:t xml:space="preserve"> as </w:t>
      </w:r>
      <m:oMath>
        <m:r>
          <m:t>n→∞</m:t>
        </m:r>
      </m:oMath>
      <w:r>
        <w:rPr>
          <w:rFonts w:ascii="Times New Roman" w:cs="Times New Roman" w:eastAsia="Times New Roman" w:hAnsi="Times New Roman"/>
          <w:sz w:val="24"/>
          <w:szCs w:val="24"/>
        </w:rPr>
        <w:t xml:space="preserve">. Formally, for each fixed </w:t>
      </w:r>
      <m:oMath>
        <m:r>
          <m:t>x∈D</m:t>
        </m:r>
      </m:oMath>
      <w:r>
        <w:rPr>
          <w:rFonts w:ascii="Times New Roman" w:cs="Times New Roman" w:eastAsia="Times New Roman" w:hAnsi="Times New Roman"/>
          <w:sz w:val="24"/>
          <w:szCs w:val="24"/>
        </w:rPr>
        <w:t xml:space="preserve"> and every </w:t>
      </w:r>
      <m:oMath>
        <m:r>
          <m:t>ε&gt;0</m:t>
        </m:r>
      </m:oMath>
      <w:r>
        <w:rPr>
          <w:rFonts w:ascii="Times New Roman" w:cs="Times New Roman" w:eastAsia="Times New Roman" w:hAnsi="Times New Roman"/>
          <w:sz w:val="24"/>
          <w:szCs w:val="24"/>
        </w:rPr>
        <w:t xml:space="preserve">, there exists a positive integer </w:t>
      </w:r>
      <m:oMath>
        <m:r>
          <m:t>N</m:t>
        </m:r>
      </m:oMath>
      <w:r>
        <w:rPr>
          <w:rFonts w:ascii="Times New Roman" w:cs="Times New Roman" w:eastAsia="Times New Roman" w:hAnsi="Times New Roman"/>
          <w:sz w:val="24"/>
          <w:szCs w:val="24"/>
        </w:rPr>
        <w:t xml:space="preserve"> such that </w:t>
      </w:r>
      <m:oMath>
        <m:r>
          <m:t>|</m:t>
        </m:r>
        <m:sSub>
          <m:sSubPr/>
          <m:e>
            <m:r>
              <m:t>f</m:t>
            </m:r>
          </m:e>
          <m:sub>
            <m:r>
              <m:t>n</m:t>
            </m:r>
          </m:sub>
        </m:sSub>
        <m:r>
          <m:t>(x)−f(x)|&lt;ε</m:t>
        </m:r>
      </m:oMath>
      <w:r>
        <w:rPr>
          <w:rFonts w:ascii="Times New Roman" w:cs="Times New Roman" w:eastAsia="Times New Roman" w:hAnsi="Times New Roman"/>
          <w:sz w:val="24"/>
          <w:szCs w:val="24"/>
        </w:rPr>
        <w:t xml:space="preserve"> for all </w:t>
      </w:r>
      <m:oMath>
        <m:r>
          <m:t>n≥N</m:t>
        </m:r>
      </m:oMath>
      <w:r>
        <w:rPr>
          <w:rFonts w:ascii="Times New Roman" w:cs="Times New Roman" w:eastAsia="Times New Roman" w:hAnsi="Times New Roman"/>
          <w:sz w:val="24"/>
          <w:szCs w:val="24"/>
        </w:rPr>
        <w:t xml:space="preserve">. In this case the required </w:t>
      </w:r>
      <m:oMath>
        <m:r>
          <m:t>N</m:t>
        </m:r>
      </m:oMath>
      <w:r>
        <w:rPr>
          <w:rFonts w:ascii="Times New Roman" w:cs="Times New Roman" w:eastAsia="Times New Roman" w:hAnsi="Times New Roman"/>
          <w:sz w:val="24"/>
          <w:szCs w:val="24"/>
        </w:rPr>
        <w:t xml:space="preserve"> may depend on both </w:t>
      </w:r>
      <m:oMath>
        <m:r>
          <m:t>ε</m:t>
        </m:r>
      </m:oMath>
      <w:r>
        <w:rPr>
          <w:rFonts w:ascii="Times New Roman" w:cs="Times New Roman" w:eastAsia="Times New Roman" w:hAnsi="Times New Roman"/>
          <w:sz w:val="24"/>
          <w:szCs w:val="24"/>
        </w:rPr>
        <w:t xml:space="preserve"> and </w:t>
      </w:r>
      <m:oMath>
        <m:r>
          <m:t>x</m:t>
        </m:r>
      </m:oMath>
      <w:r>
        <w:rPr>
          <w:rFonts w:ascii="Times New Roman" w:cs="Times New Roman" w:eastAsia="Times New Roman" w:hAnsi="Times New Roman"/>
          <w:sz w:val="24"/>
          <w:szCs w:val="24"/>
        </w:rPr>
        <w:t xml:space="preserve">, which is written </w:t>
      </w:r>
      <m:oMath>
        <m:r>
          <m:t>N=N(ε,x)</m:t>
        </m:r>
      </m:oMath>
      <w:r>
        <w:rPr>
          <w:rFonts w:ascii="Times New Roman" w:cs="Times New Roman" w:eastAsia="Times New Roman" w:hAnsi="Times New Roman"/>
          <w:sz w:val="24"/>
          <w:szCs w:val="24"/>
        </w:rPr>
        <w:t xml:space="preserve">.</w:t>
      </w:r>
    </w:p>
    <w:p>
      <w:pPr>
        <w:spacing w:after="160" w:line="276"/>
        <w:jc w:val="both"/>
      </w:pPr>
      <w:r>
        <w:rPr>
          <w:rFonts w:ascii="Times New Roman" w:cs="Times New Roman" w:eastAsia="Times New Roman" w:hAnsi="Times New Roman"/>
          <w:sz w:val="24"/>
          <w:szCs w:val="24"/>
        </w:rPr>
        <w:t xml:space="preserve">Uniform convergence is stronger because the convergence condition must hold simultaneously across the entire domain using one suitable index </w:t>
      </w:r>
      <m:oMath>
        <m:r>
          <m:t>N</m:t>
        </m:r>
      </m:oMath>
      <w:r>
        <w:rPr>
          <w:rFonts w:ascii="Times New Roman" w:cs="Times New Roman" w:eastAsia="Times New Roman" w:hAnsi="Times New Roman"/>
          <w:sz w:val="24"/>
          <w:szCs w:val="24"/>
        </w:rPr>
        <w:t xml:space="preserve"> for each positive tolerance </w:t>
      </w:r>
      <m:oMath>
        <m:r>
          <m:t>ε</m:t>
        </m:r>
      </m:oMath>
      <w:r>
        <w:rPr>
          <w:rFonts w:ascii="Times New Roman" w:cs="Times New Roman" w:eastAsia="Times New Roman" w:hAnsi="Times New Roman"/>
          <w:sz w:val="24"/>
          <w:szCs w:val="24"/>
        </w:rPr>
        <w:t xml:space="preserve">. That is, for every </w:t>
      </w:r>
      <m:oMath>
        <m:r>
          <m:t>ε&gt;0</m:t>
        </m:r>
      </m:oMath>
      <w:r>
        <w:rPr>
          <w:rFonts w:ascii="Times New Roman" w:cs="Times New Roman" w:eastAsia="Times New Roman" w:hAnsi="Times New Roman"/>
          <w:sz w:val="24"/>
          <w:szCs w:val="24"/>
        </w:rPr>
        <w:t xml:space="preserve"> there exists a positive integer </w:t>
      </w:r>
      <m:oMath>
        <m:r>
          <m:t>N</m:t>
        </m:r>
      </m:oMath>
      <w:r>
        <w:rPr>
          <w:rFonts w:ascii="Times New Roman" w:cs="Times New Roman" w:eastAsia="Times New Roman" w:hAnsi="Times New Roman"/>
          <w:sz w:val="24"/>
          <w:szCs w:val="24"/>
        </w:rPr>
        <w:t xml:space="preserve"> such that </w:t>
      </w:r>
      <m:oMath>
        <m:r>
          <m:t>|</m:t>
        </m:r>
        <m:sSub>
          <m:sSubPr/>
          <m:e>
            <m:r>
              <m:t>f</m:t>
            </m:r>
          </m:e>
          <m:sub>
            <m:r>
              <m:t>n</m:t>
            </m:r>
          </m:sub>
        </m:sSub>
        <m:r>
          <m:t>(x)−f(x)|&lt;ε</m:t>
        </m:r>
      </m:oMath>
      <w:r>
        <w:rPr>
          <w:rFonts w:ascii="Times New Roman" w:cs="Times New Roman" w:eastAsia="Times New Roman" w:hAnsi="Times New Roman"/>
          <w:sz w:val="24"/>
          <w:szCs w:val="24"/>
        </w:rPr>
        <w:t xml:space="preserve"> for all </w:t>
      </w:r>
      <m:oMath>
        <m:r>
          <m:t>n≥N</m:t>
        </m:r>
      </m:oMath>
      <w:r>
        <w:rPr>
          <w:rFonts w:ascii="Times New Roman" w:cs="Times New Roman" w:eastAsia="Times New Roman" w:hAnsi="Times New Roman"/>
          <w:sz w:val="24"/>
          <w:szCs w:val="24"/>
        </w:rPr>
        <w:t xml:space="preserve"> and every </w:t>
      </w:r>
      <m:oMath>
        <m:r>
          <m:t>x∈D</m:t>
        </m:r>
      </m:oMath>
      <w:r>
        <w:rPr>
          <w:rFonts w:ascii="Times New Roman" w:cs="Times New Roman" w:eastAsia="Times New Roman" w:hAnsi="Times New Roman"/>
          <w:sz w:val="24"/>
          <w:szCs w:val="24"/>
        </w:rPr>
        <w:t xml:space="preserve">, as stated in Equation (1). Here </w:t>
      </w:r>
      <m:oMath>
        <m:r>
          <m:t>N</m:t>
        </m:r>
      </m:oMath>
      <w:r>
        <w:rPr>
          <w:rFonts w:ascii="Times New Roman" w:cs="Times New Roman" w:eastAsia="Times New Roman" w:hAnsi="Times New Roman"/>
          <w:sz w:val="24"/>
          <w:szCs w:val="24"/>
        </w:rPr>
        <w:t xml:space="preserve"> may depend on </w:t>
      </w:r>
      <m:oMath>
        <m:r>
          <m:t>ε</m:t>
        </m:r>
      </m:oMath>
      <w:r>
        <w:rPr>
          <w:rFonts w:ascii="Times New Roman" w:cs="Times New Roman" w:eastAsia="Times New Roman" w:hAnsi="Times New Roman"/>
          <w:sz w:val="24"/>
          <w:szCs w:val="24"/>
        </w:rPr>
        <w:t xml:space="preserve"> only, written </w:t>
      </w:r>
      <m:oMath>
        <m:r>
          <m:t>N=N(ε)</m:t>
        </m:r>
      </m:oMath>
      <w:r>
        <w:rPr>
          <w:rFonts w:ascii="Times New Roman" w:cs="Times New Roman" w:eastAsia="Times New Roman" w:hAnsi="Times New Roman"/>
          <w:sz w:val="24"/>
          <w:szCs w:val="24"/>
        </w:rPr>
        <w:t xml:space="preserve">, and the same </w:t>
      </w:r>
      <m:oMath>
        <m:r>
          <m:t>N</m:t>
        </m:r>
      </m:oMath>
      <w:r>
        <w:rPr>
          <w:rFonts w:ascii="Times New Roman" w:cs="Times New Roman" w:eastAsia="Times New Roman" w:hAnsi="Times New Roman"/>
          <w:sz w:val="24"/>
          <w:szCs w:val="24"/>
        </w:rPr>
        <w:t xml:space="preserve"> must work for every </w:t>
      </w:r>
      <m:oMath>
        <m:r>
          <m:t>x∈D</m:t>
        </m:r>
      </m:oMath>
      <w:r>
        <w:rPr>
          <w:rFonts w:ascii="Times New Roman" w:cs="Times New Roman" w:eastAsia="Times New Roman" w:hAnsi="Times New Roman"/>
          <w:sz w:val="24"/>
          <w:szCs w:val="24"/>
        </w:rPr>
        <w:t xml:space="preserve">.</w:t>
      </w:r>
    </w:p>
    <w:p>
      <w:pPr>
        <w:keepNext/>
        <w:spacing w:after="160" w:line="276"/>
        <w:jc w:val="both"/>
      </w:pPr>
      <w:r>
        <w:rPr>
          <w:rFonts w:ascii="Times New Roman" w:cs="Times New Roman" w:eastAsia="Times New Roman" w:hAnsi="Times New Roman"/>
          <w:sz w:val="24"/>
          <w:szCs w:val="24"/>
        </w:rPr>
        <w:t xml:space="preserve">The two concepts therefore differ in how the index </w:t>
      </w:r>
      <m:oMath>
        <m:r>
          <m:t>N</m:t>
        </m:r>
      </m:oMath>
      <w:r>
        <w:rPr>
          <w:rFonts w:ascii="Times New Roman" w:cs="Times New Roman" w:eastAsia="Times New Roman" w:hAnsi="Times New Roman"/>
          <w:sz w:val="24"/>
          <w:szCs w:val="24"/>
        </w:rPr>
        <w:t xml:space="preserve"> may depend on the variables:</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Pointwise convergence:</w:t>
      </w:r>
      <w:r>
        <w:rPr>
          <w:rFonts w:ascii="Times New Roman" w:cs="Times New Roman" w:eastAsia="Times New Roman" w:hAnsi="Times New Roman"/>
          <w:sz w:val="24"/>
          <w:szCs w:val="24"/>
        </w:rPr>
        <w:t xml:space="preserve"> </w:t>
      </w:r>
      <m:oMath>
        <m:r>
          <m:t>N</m:t>
        </m:r>
      </m:oMath>
      <w:r>
        <w:rPr>
          <w:rFonts w:ascii="Times New Roman" w:cs="Times New Roman" w:eastAsia="Times New Roman" w:hAnsi="Times New Roman"/>
          <w:sz w:val="24"/>
          <w:szCs w:val="24"/>
        </w:rPr>
        <w:t xml:space="preserve"> may depend on </w:t>
      </w:r>
      <m:oMath>
        <m:r>
          <m:t>ε</m:t>
        </m:r>
      </m:oMath>
      <w:r>
        <w:rPr>
          <w:rFonts w:ascii="Times New Roman" w:cs="Times New Roman" w:eastAsia="Times New Roman" w:hAnsi="Times New Roman"/>
          <w:sz w:val="24"/>
          <w:szCs w:val="24"/>
        </w:rPr>
        <w:t xml:space="preserve"> and on </w:t>
      </w:r>
      <m:oMath>
        <m:r>
          <m:t>x</m:t>
        </m:r>
      </m:oMath>
      <w:r>
        <w:rPr>
          <w:rFonts w:ascii="Times New Roman" w:cs="Times New Roman" w:eastAsia="Times New Roman" w:hAnsi="Times New Roman"/>
          <w:sz w:val="24"/>
          <w:szCs w:val="24"/>
        </w:rPr>
        <w:t xml:space="preserve">.</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Uniform convergence:</w:t>
      </w:r>
      <w:r>
        <w:rPr>
          <w:rFonts w:ascii="Times New Roman" w:cs="Times New Roman" w:eastAsia="Times New Roman" w:hAnsi="Times New Roman"/>
          <w:sz w:val="24"/>
          <w:szCs w:val="24"/>
        </w:rPr>
        <w:t xml:space="preserve"> </w:t>
      </w:r>
      <m:oMath>
        <m:r>
          <m:t>N</m:t>
        </m:r>
      </m:oMath>
      <w:r>
        <w:rPr>
          <w:rFonts w:ascii="Times New Roman" w:cs="Times New Roman" w:eastAsia="Times New Roman" w:hAnsi="Times New Roman"/>
          <w:sz w:val="24"/>
          <w:szCs w:val="24"/>
        </w:rPr>
        <w:t xml:space="preserve"> may depend on </w:t>
      </w:r>
      <m:oMath>
        <m:r>
          <m:t>ε</m:t>
        </m:r>
      </m:oMath>
      <w:r>
        <w:rPr>
          <w:rFonts w:ascii="Times New Roman" w:cs="Times New Roman" w:eastAsia="Times New Roman" w:hAnsi="Times New Roman"/>
          <w:sz w:val="24"/>
          <w:szCs w:val="24"/>
        </w:rPr>
        <w:t xml:space="preserve"> only and must work for every </w:t>
      </w:r>
      <m:oMath>
        <m:r>
          <m:t>x∈D</m:t>
        </m:r>
      </m:oMath>
      <w:r>
        <w:rPr>
          <w:rFonts w:ascii="Times New Roman" w:cs="Times New Roman" w:eastAsia="Times New Roman" w:hAnsi="Times New Roman"/>
          <w:sz w:val="24"/>
          <w:szCs w:val="24"/>
        </w:rPr>
        <w:t xml:space="preserve">.</w:t>
      </w:r>
    </w:p>
    <w:p>
      <w:pPr>
        <w:keepNext/>
        <w:spacing w:after="0" w:before="120" w:line="276"/>
        <w:jc w:val="both"/>
      </w:pPr>
      <w:r>
        <w:rPr>
          <w:rFonts w:ascii="Times New Roman" w:cs="Times New Roman" w:eastAsia="Times New Roman" w:hAnsi="Times New Roman"/>
          <w:sz w:val="24"/>
          <w:szCs w:val="24"/>
        </w:rPr>
        <w:t xml:space="preserve">The distinction can be expressed through the uniform error:</w:t>
      </w:r>
    </w:p>
    <w:p>
      <w:pPr>
        <w:tabs>
          <w:tab w:val="center" w:pos="4680"/>
          <w:tab w:val="right" w:pos="9360"/>
        </w:tabs>
        <w:spacing w:after="200" w:before="120" w:line="276"/>
      </w:pPr>
      <w:r>
        <w:rPr>
          <w:rFonts w:ascii="Times New Roman" w:cs="Times New Roman" w:eastAsia="Times New Roman" w:hAnsi="Times New Roman"/>
          <w:sz w:val="24"/>
          <w:szCs w:val="24"/>
        </w:rPr>
        <w:t xml:space="preserve">	</w:t>
      </w:r>
      <m:oMath>
        <m:sSub>
          <m:sSubPr/>
          <m:e>
            <m:r>
              <m:t>E</m:t>
            </m:r>
          </m:e>
          <m:sub>
            <m:r>
              <m:t>n</m:t>
            </m:r>
          </m:sub>
        </m:sSub>
        <m:r>
          <m:t>=</m:t>
        </m:r>
        <m:limLow>
          <m:e>
            <m:r>
              <m:rPr>
                <m:sty m:val="p"/>
              </m:rPr>
              <m:t>sup</m:t>
            </m:r>
          </m:e>
          <m:lim>
            <m:r>
              <m:t>x∈D</m:t>
            </m:r>
          </m:lim>
        </m:limLow>
        <m:r>
          <m:t>|</m:t>
        </m:r>
        <m:sSub>
          <m:sSubPr/>
          <m:e>
            <m:r>
              <m:t>f</m:t>
            </m:r>
          </m:e>
          <m:sub>
            <m:r>
              <m:t>n</m:t>
            </m:r>
          </m:sub>
        </m:sSub>
        <m:r>
          <m:t>(x)−f(x)|</m:t>
        </m:r>
      </m:oMath>
      <w:r>
        <w:rPr>
          <w:rFonts w:ascii="Times New Roman" w:cs="Times New Roman" w:eastAsia="Times New Roman" w:hAnsi="Times New Roman"/>
          <w:sz w:val="24"/>
          <w:szCs w:val="24"/>
        </w:rPr>
        <w:t xml:space="preserve">	(2)</w:t>
      </w:r>
    </w:p>
    <w:p>
      <w:pPr>
        <w:spacing w:after="160" w:line="276"/>
        <w:jc w:val="both"/>
      </w:pPr>
      <w:r>
        <w:rPr>
          <w:rFonts w:ascii="Times New Roman" w:cs="Times New Roman" w:eastAsia="Times New Roman" w:hAnsi="Times New Roman"/>
          <w:sz w:val="24"/>
          <w:szCs w:val="24"/>
        </w:rPr>
        <w:t xml:space="preserve">Here </w:t>
      </w:r>
      <m:oMath>
        <m:r>
          <m:rPr>
            <m:sty m:val="p"/>
          </m:rPr>
          <m:t>sup</m:t>
        </m:r>
      </m:oMath>
      <w:r>
        <w:rPr>
          <w:rFonts w:ascii="Times New Roman" w:cs="Times New Roman" w:eastAsia="Times New Roman" w:hAnsi="Times New Roman"/>
          <w:sz w:val="24"/>
          <w:szCs w:val="24"/>
        </w:rPr>
        <w:t xml:space="preserve"> denotes the supremum, or least upper bound, of the set of error values </w:t>
      </w:r>
      <m:oMath>
        <m:r>
          <m:t>|</m:t>
        </m:r>
        <m:sSub>
          <m:sSubPr/>
          <m:e>
            <m:r>
              <m:t>f</m:t>
            </m:r>
          </m:e>
          <m:sub>
            <m:r>
              <m:t>n</m:t>
            </m:r>
          </m:sub>
        </m:sSub>
        <m:r>
          <m:t>(x)−f(x)|</m:t>
        </m:r>
      </m:oMath>
      <w:r>
        <w:rPr>
          <w:rFonts w:ascii="Times New Roman" w:cs="Times New Roman" w:eastAsia="Times New Roman" w:hAnsi="Times New Roman"/>
          <w:sz w:val="24"/>
          <w:szCs w:val="24"/>
        </w:rPr>
        <w:t xml:space="preserve"> taken over all </w:t>
      </w:r>
      <m:oMath>
        <m:r>
          <m:t>x∈D</m:t>
        </m:r>
      </m:oMath>
      <w:r>
        <w:rPr>
          <w:rFonts w:ascii="Times New Roman" w:cs="Times New Roman" w:eastAsia="Times New Roman" w:hAnsi="Times New Roman"/>
          <w:sz w:val="24"/>
          <w:szCs w:val="24"/>
        </w:rPr>
        <w:t xml:space="preserve">. Unlike a maximum, a supremum need not be attained at any point of the domain.</w:t>
      </w:r>
    </w:p>
    <w:p>
      <w:pPr>
        <w:keepNext/>
        <w:spacing w:after="0" w:line="276"/>
        <w:jc w:val="both"/>
      </w:pPr>
      <w:r>
        <w:rPr>
          <w:rFonts w:ascii="Times New Roman" w:cs="Times New Roman" w:eastAsia="Times New Roman" w:hAnsi="Times New Roman"/>
          <w:sz w:val="24"/>
          <w:szCs w:val="24"/>
        </w:rPr>
        <w:t xml:space="preserve">When the relevant supremum is well-defined (finite for all sufficiently large </w:t>
      </w:r>
      <m:oMath>
        <m:r>
          <m:t>n</m:t>
        </m:r>
      </m:oMath>
      <w:r>
        <w:rPr>
          <w:rFonts w:ascii="Times New Roman" w:cs="Times New Roman" w:eastAsia="Times New Roman" w:hAnsi="Times New Roman"/>
          <w:sz w:val="24"/>
          <w:szCs w:val="24"/>
        </w:rPr>
        <w:t xml:space="preserve">), uniform convergence of </w:t>
      </w:r>
      <m:oMath>
        <m:sSub>
          <m:sSubPr/>
          <m:e>
            <m:r>
              <m:t>f</m:t>
            </m:r>
          </m:e>
          <m:sub>
            <m:r>
              <m:t>n</m:t>
            </m:r>
          </m:sub>
        </m:sSub>
      </m:oMath>
      <w:r>
        <w:rPr>
          <w:rFonts w:ascii="Times New Roman" w:cs="Times New Roman" w:eastAsia="Times New Roman" w:hAnsi="Times New Roman"/>
          <w:sz w:val="24"/>
          <w:szCs w:val="24"/>
        </w:rPr>
        <w:t xml:space="preserve"> to </w:t>
      </w:r>
      <m:oMath>
        <m:r>
          <m:t>f</m:t>
        </m:r>
      </m:oMath>
      <w:r>
        <w:rPr>
          <w:rFonts w:ascii="Times New Roman" w:cs="Times New Roman" w:eastAsia="Times New Roman" w:hAnsi="Times New Roman"/>
          <w:sz w:val="24"/>
          <w:szCs w:val="24"/>
        </w:rPr>
        <w:t xml:space="preserve"> on </w:t>
      </w:r>
      <m:oMath>
        <m:r>
          <m:t>D</m:t>
        </m:r>
      </m:oMath>
      <w:r>
        <w:rPr>
          <w:rFonts w:ascii="Times New Roman" w:cs="Times New Roman" w:eastAsia="Times New Roman" w:hAnsi="Times New Roman"/>
          <w:sz w:val="24"/>
          <w:szCs w:val="24"/>
        </w:rPr>
        <w:t xml:space="preserve"> is equivalent to the condition</w:t>
      </w:r>
    </w:p>
    <w:p>
      <w:pPr>
        <w:tabs>
          <w:tab w:val="center" w:pos="4680"/>
          <w:tab w:val="right" w:pos="9360"/>
        </w:tabs>
        <w:spacing w:after="200" w:before="120" w:line="276"/>
      </w:pPr>
      <w:r>
        <w:rPr>
          <w:rFonts w:ascii="Times New Roman" w:cs="Times New Roman" w:eastAsia="Times New Roman" w:hAnsi="Times New Roman"/>
          <w:sz w:val="24"/>
          <w:szCs w:val="24"/>
        </w:rPr>
        <w:t xml:space="preserve">	</w:t>
      </w:r>
      <m:oMath>
        <m:sSub>
          <m:sSubPr/>
          <m:e>
            <m:r>
              <m:t>E</m:t>
            </m:r>
          </m:e>
          <m:sub>
            <m:r>
              <m:t>n</m:t>
            </m:r>
          </m:sub>
        </m:sSub>
        <m:r>
          <m:t>→0 </m:t>
        </m:r>
        <m:r>
          <m:rPr>
            <m:nor/>
          </m:rPr>
          <w:rPr>
            <w:rFonts w:ascii="Times New Roman" w:hAnsi="Times New Roman"/>
          </w:rPr>
          <m:t xml:space="preserve">as</m:t>
        </m:r>
        <m:r>
          <m:t> n→∞</m:t>
        </m:r>
      </m:oMath>
      <w:r>
        <w:rPr>
          <w:rFonts w:ascii="Times New Roman" w:cs="Times New Roman" w:eastAsia="Times New Roman" w:hAnsi="Times New Roman"/>
          <w:sz w:val="24"/>
          <w:szCs w:val="24"/>
        </w:rPr>
        <w:t xml:space="preserve">	(3)</w:t>
      </w:r>
    </w:p>
    <w:p>
      <w:pPr>
        <w:spacing w:after="160" w:line="276"/>
        <w:jc w:val="both"/>
      </w:pPr>
      <w:r>
        <w:rPr>
          <w:rFonts w:ascii="Times New Roman" w:cs="Times New Roman" w:eastAsia="Times New Roman" w:hAnsi="Times New Roman"/>
          <w:sz w:val="24"/>
          <w:szCs w:val="24"/>
        </w:rPr>
        <w:t xml:space="preserve">Indeed, if </w:t>
      </w:r>
      <m:oMath>
        <m:sSub>
          <m:sSubPr/>
          <m:e>
            <m:r>
              <m:t>E</m:t>
            </m:r>
          </m:e>
          <m:sub>
            <m:r>
              <m:t>n</m:t>
            </m:r>
          </m:sub>
        </m:sSub>
        <m:r>
          <m:t>&lt;ε</m:t>
        </m:r>
      </m:oMath>
      <w:r>
        <w:rPr>
          <w:rFonts w:ascii="Times New Roman" w:cs="Times New Roman" w:eastAsia="Times New Roman" w:hAnsi="Times New Roman"/>
          <w:sz w:val="24"/>
          <w:szCs w:val="24"/>
        </w:rPr>
        <w:t xml:space="preserve"> for all </w:t>
      </w:r>
      <m:oMath>
        <m:r>
          <m:t>n≥N</m:t>
        </m:r>
      </m:oMath>
      <w:r>
        <w:rPr>
          <w:rFonts w:ascii="Times New Roman" w:cs="Times New Roman" w:eastAsia="Times New Roman" w:hAnsi="Times New Roman"/>
          <w:sz w:val="24"/>
          <w:szCs w:val="24"/>
        </w:rPr>
        <w:t xml:space="preserve">, then </w:t>
      </w:r>
      <m:oMath>
        <m:r>
          <m:t>|</m:t>
        </m:r>
        <m:sSub>
          <m:sSubPr/>
          <m:e>
            <m:r>
              <m:t>f</m:t>
            </m:r>
          </m:e>
          <m:sub>
            <m:r>
              <m:t>n</m:t>
            </m:r>
          </m:sub>
        </m:sSub>
        <m:r>
          <m:t>(x)−f(x)|≤</m:t>
        </m:r>
        <m:sSub>
          <m:sSubPr/>
          <m:e>
            <m:r>
              <m:t>E</m:t>
            </m:r>
          </m:e>
          <m:sub>
            <m:r>
              <m:t>n</m:t>
            </m:r>
          </m:sub>
        </m:sSub>
        <m:r>
          <m:t>&lt;ε</m:t>
        </m:r>
      </m:oMath>
      <w:r>
        <w:rPr>
          <w:rFonts w:ascii="Times New Roman" w:cs="Times New Roman" w:eastAsia="Times New Roman" w:hAnsi="Times New Roman"/>
          <w:sz w:val="24"/>
          <w:szCs w:val="24"/>
        </w:rPr>
        <w:t xml:space="preserve"> for every </w:t>
      </w:r>
      <m:oMath>
        <m:r>
          <m:t>x∈D</m:t>
        </m:r>
      </m:oMath>
      <w:r>
        <w:rPr>
          <w:rFonts w:ascii="Times New Roman" w:cs="Times New Roman" w:eastAsia="Times New Roman" w:hAnsi="Times New Roman"/>
          <w:sz w:val="24"/>
          <w:szCs w:val="24"/>
        </w:rPr>
        <w:t xml:space="preserve">; conversely, if </w:t>
      </w:r>
      <m:oMath>
        <m:sSub>
          <m:sSubPr/>
          <m:e>
            <m:r>
              <m:t>f</m:t>
            </m:r>
          </m:e>
          <m:sub>
            <m:r>
              <m:t>n</m:t>
            </m:r>
          </m:sub>
        </m:sSub>
      </m:oMath>
      <w:r>
        <w:rPr>
          <w:rFonts w:ascii="Times New Roman" w:cs="Times New Roman" w:eastAsia="Times New Roman" w:hAnsi="Times New Roman"/>
          <w:sz w:val="24"/>
          <w:szCs w:val="24"/>
        </w:rPr>
        <w:t xml:space="preserve"> converges uniformly, then </w:t>
      </w:r>
      <m:oMath>
        <m:sSub>
          <m:sSubPr/>
          <m:e>
            <m:r>
              <m:t>E</m:t>
            </m:r>
          </m:e>
          <m:sub>
            <m:r>
              <m:t>n</m:t>
            </m:r>
          </m:sub>
        </m:sSub>
        <m:r>
          <m:t>≤ε</m:t>
        </m:r>
      </m:oMath>
      <w:r>
        <w:rPr>
          <w:rFonts w:ascii="Times New Roman" w:cs="Times New Roman" w:eastAsia="Times New Roman" w:hAnsi="Times New Roman"/>
          <w:sz w:val="24"/>
          <w:szCs w:val="24"/>
        </w:rPr>
        <w:t xml:space="preserve"> for all </w:t>
      </w:r>
      <m:oMath>
        <m:r>
          <m:t>n≥N</m:t>
        </m:r>
      </m:oMath>
      <w:r>
        <w:rPr>
          <w:rFonts w:ascii="Times New Roman" w:cs="Times New Roman" w:eastAsia="Times New Roman" w:hAnsi="Times New Roman"/>
          <w:sz w:val="24"/>
          <w:szCs w:val="24"/>
        </w:rPr>
        <w:t xml:space="preserve">.</w:t>
      </w:r>
    </w:p>
    <w:p>
      <w:pPr>
        <w:spacing w:after="160" w:line="276"/>
        <w:jc w:val="both"/>
      </w:pPr>
      <w:r>
        <w:rPr>
          <w:rFonts w:ascii="Times New Roman" w:cs="Times New Roman" w:eastAsia="Times New Roman" w:hAnsi="Times New Roman"/>
          <w:sz w:val="24"/>
          <w:szCs w:val="24"/>
        </w:rPr>
        <w:t xml:space="preserve">Many common errors in uniform convergence problems involve incorrectly evaluating a supremum, confusing a maximum with a supremum, or assuming that pointwise convergence automatically implies uniform convergence.</w:t>
      </w:r>
    </w:p>
    <w:p>
      <w:pPr>
        <w:spacing w:after="160" w:line="276"/>
        <w:jc w:val="both"/>
      </w:pPr>
      <w:r>
        <w:rPr>
          <w:rFonts w:ascii="Times New Roman" w:cs="Times New Roman" w:eastAsia="Times New Roman" w:hAnsi="Times New Roman"/>
          <w:sz w:val="24"/>
          <w:szCs w:val="24"/>
        </w:rPr>
        <w:t xml:space="preserve">These properties make uniform convergence suitable for evaluating whether a model’s verdict and explanation are mathematically reliable.</w:t>
      </w:r>
    </w:p>
    <w:p>
      <w:pPr>
        <w:pStyle w:val="Heading2"/>
      </w:pPr>
      <w:r>
        <w:t xml:space="preserve">2.2 Verbal Confidence</w:t>
      </w:r>
    </w:p>
    <w:p>
      <w:pPr>
        <w:keepNext/>
        <w:spacing w:after="160" w:line="276"/>
        <w:jc w:val="both"/>
      </w:pPr>
      <w:r>
        <w:rPr>
          <w:rFonts w:ascii="Times New Roman" w:cs="Times New Roman" w:eastAsia="Times New Roman" w:hAnsi="Times New Roman"/>
          <w:sz w:val="24"/>
          <w:szCs w:val="24"/>
        </w:rPr>
        <w:t xml:space="preserve">In this study, verbal confidence refers to the categorical label generated by the model:</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LOW:</w:t>
      </w:r>
      <w:r>
        <w:rPr>
          <w:rFonts w:ascii="Times New Roman" w:cs="Times New Roman" w:eastAsia="Times New Roman" w:hAnsi="Times New Roman"/>
          <w:sz w:val="24"/>
          <w:szCs w:val="24"/>
        </w:rPr>
        <w:t xml:space="preserve"> the model expresses low confidence.</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MEDIUM:</w:t>
      </w:r>
      <w:r>
        <w:rPr>
          <w:rFonts w:ascii="Times New Roman" w:cs="Times New Roman" w:eastAsia="Times New Roman" w:hAnsi="Times New Roman"/>
          <w:sz w:val="24"/>
          <w:szCs w:val="24"/>
        </w:rPr>
        <w:t xml:space="preserve"> the model expresses moderate confidence.</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HIGH:</w:t>
      </w:r>
      <w:r>
        <w:rPr>
          <w:rFonts w:ascii="Times New Roman" w:cs="Times New Roman" w:eastAsia="Times New Roman" w:hAnsi="Times New Roman"/>
          <w:sz w:val="24"/>
          <w:szCs w:val="24"/>
        </w:rPr>
        <w:t xml:space="preserve"> the model expresses high confidence.</w:t>
      </w:r>
    </w:p>
    <w:p>
      <w:pPr>
        <w:spacing w:after="160" w:before="120" w:line="276"/>
        <w:jc w:val="both"/>
      </w:pPr>
      <w:r>
        <w:rPr>
          <w:rFonts w:ascii="Times New Roman" w:cs="Times New Roman" w:eastAsia="Times New Roman" w:hAnsi="Times New Roman"/>
          <w:sz w:val="24"/>
          <w:szCs w:val="24"/>
        </w:rPr>
        <w:t xml:space="preserve">These categories represent verbal self-assessments, not calibrated probabilities. For example, a HIGH label does not automatically mean that the model has an 80% probability of being correct.</w:t>
      </w:r>
    </w:p>
    <w:p>
      <w:pPr>
        <w:spacing w:after="160" w:line="276"/>
        <w:jc w:val="both"/>
      </w:pPr>
      <w:r>
        <w:rPr>
          <w:rFonts w:ascii="Times New Roman" w:cs="Times New Roman" w:eastAsia="Times New Roman" w:hAnsi="Times New Roman"/>
          <w:sz w:val="24"/>
          <w:szCs w:val="24"/>
        </w:rPr>
        <w:t xml:space="preserve">The study investigates whether the ordering of these labels corresponds to an ordering in observed correctness.</w:t>
      </w:r>
    </w:p>
    <w:p>
      <w:pPr>
        <w:pStyle w:val="Heading2"/>
      </w:pPr>
      <w:r>
        <w:t xml:space="preserve">2.3 Verdict Correctness and Reasoning Quality</w:t>
      </w:r>
    </w:p>
    <w:p>
      <w:pPr>
        <w:spacing w:after="160" w:line="276"/>
        <w:jc w:val="both"/>
      </w:pPr>
      <w:r>
        <w:rPr>
          <w:rFonts w:ascii="Times New Roman" w:cs="Times New Roman" w:eastAsia="Times New Roman" w:hAnsi="Times New Roman"/>
          <w:sz w:val="24"/>
          <w:szCs w:val="24"/>
        </w:rPr>
        <w:t xml:space="preserve">Two dimensions of performance are considered.</w:t>
      </w:r>
    </w:p>
    <w:p>
      <w:pPr>
        <w:spacing w:after="160" w:line="276"/>
        <w:jc w:val="both"/>
      </w:pPr>
      <w:r>
        <w:rPr>
          <w:rFonts w:ascii="Times New Roman" w:cs="Times New Roman" w:eastAsia="Times New Roman" w:hAnsi="Times New Roman"/>
          <w:b/>
          <w:bCs/>
          <w:sz w:val="24"/>
          <w:szCs w:val="24"/>
        </w:rPr>
        <w:t xml:space="preserve">Verdict correctness</w:t>
      </w:r>
      <w:r>
        <w:rPr>
          <w:rFonts w:ascii="Times New Roman" w:cs="Times New Roman" w:eastAsia="Times New Roman" w:hAnsi="Times New Roman"/>
          <w:sz w:val="24"/>
          <w:szCs w:val="24"/>
        </w:rPr>
        <w:t xml:space="preserve"> evaluates whether the model’s final CORRECT or INCORRECT judgment agrees with the reference verdict.</w:t>
      </w:r>
    </w:p>
    <w:p>
      <w:pPr>
        <w:spacing w:after="160" w:line="276"/>
        <w:jc w:val="both"/>
      </w:pPr>
      <w:r>
        <w:rPr>
          <w:rFonts w:ascii="Times New Roman" w:cs="Times New Roman" w:eastAsia="Times New Roman" w:hAnsi="Times New Roman"/>
          <w:b/>
          <w:bCs/>
          <w:sz w:val="24"/>
          <w:szCs w:val="24"/>
        </w:rPr>
        <w:t xml:space="preserve">Reasoning quality</w:t>
      </w:r>
      <w:r>
        <w:rPr>
          <w:rFonts w:ascii="Times New Roman" w:cs="Times New Roman" w:eastAsia="Times New Roman" w:hAnsi="Times New Roman"/>
          <w:sz w:val="24"/>
          <w:szCs w:val="24"/>
        </w:rPr>
        <w:t xml:space="preserve"> evaluates whether the mathematical explanation itself is sound.</w:t>
      </w:r>
    </w:p>
    <w:p>
      <w:pPr>
        <w:spacing w:after="160" w:line="276"/>
        <w:jc w:val="both"/>
      </w:pPr>
      <w:r>
        <w:rPr>
          <w:rFonts w:ascii="Times New Roman" w:cs="Times New Roman" w:eastAsia="Times New Roman" w:hAnsi="Times New Roman"/>
          <w:sz w:val="24"/>
          <w:szCs w:val="24"/>
        </w:rPr>
        <w:t xml:space="preserve">The two measures are related but not interchangeable. A correct verdict may be supported by incorrect reasoning, while an incorrect verdict may contain some valid mathematical observations.</w:t>
      </w:r>
    </w:p>
    <w:p>
      <w:pPr>
        <w:pStyle w:val="Heading1"/>
      </w:pPr>
      <w:r>
        <w:t xml:space="preserve">3. Methodology</w:t>
      </w:r>
    </w:p>
    <w:p>
      <w:pPr>
        <w:pStyle w:val="Heading2"/>
      </w:pPr>
      <w:r>
        <w:t xml:space="preserve">3.1 Research Design</w:t>
      </w:r>
    </w:p>
    <w:p>
      <w:pPr>
        <w:spacing w:after="160" w:line="276"/>
        <w:jc w:val="both"/>
      </w:pPr>
      <w:r>
        <w:rPr>
          <w:rFonts w:ascii="Times New Roman" w:cs="Times New Roman" w:eastAsia="Times New Roman" w:hAnsi="Times New Roman"/>
          <w:sz w:val="24"/>
          <w:szCs w:val="24"/>
        </w:rPr>
        <w:t xml:space="preserve">This study uses a small-scale, quantitative, exploratory evaluation of one language model.</w:t>
      </w:r>
    </w:p>
    <w:p>
      <w:pPr>
        <w:spacing w:after="160" w:line="276"/>
        <w:jc w:val="both"/>
      </w:pPr>
      <w:r>
        <w:rPr>
          <w:rFonts w:ascii="Times New Roman" w:cs="Times New Roman" w:eastAsia="Times New Roman" w:hAnsi="Times New Roman"/>
          <w:sz w:val="24"/>
          <w:szCs w:val="24"/>
        </w:rPr>
        <w:t xml:space="preserve">The experiment contains 25 selected mathematical cases involving uniform convergence. Each case has a reference verdict against which the model’s verdict is compared.</w:t>
      </w:r>
    </w:p>
    <w:p>
      <w:pPr>
        <w:spacing w:after="160" w:line="276"/>
        <w:jc w:val="both"/>
      </w:pPr>
      <w:r>
        <w:rPr>
          <w:rFonts w:ascii="Times New Roman" w:cs="Times New Roman" w:eastAsia="Times New Roman" w:hAnsi="Times New Roman"/>
          <w:sz w:val="24"/>
          <w:szCs w:val="24"/>
        </w:rPr>
        <w:t xml:space="preserve">The evaluation examines verdict accuracy, the distribution of verbal confidence labels, the relationship between confidence and correctness, and a separate preliminary review of mathematical explanations.</w:t>
      </w:r>
    </w:p>
    <w:p>
      <w:pPr>
        <w:pStyle w:val="Heading2"/>
      </w:pPr>
      <w:r>
        <w:t xml:space="preserve">3.2 Model and Computing Environment</w:t>
      </w:r>
    </w:p>
    <w:p>
      <w:pPr>
        <w:keepNext/>
        <w:spacing w:after="160" w:line="276"/>
        <w:jc w:val="both"/>
      </w:pPr>
      <w:r>
        <w:rPr>
          <w:rFonts w:ascii="Times New Roman" w:cs="Times New Roman" w:eastAsia="Times New Roman" w:hAnsi="Times New Roman"/>
          <w:sz w:val="24"/>
          <w:szCs w:val="24"/>
        </w:rPr>
        <w:t xml:space="preserve">The model used was:</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Qwen3-1.7B</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Model identifier:</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Qwen/Qwen3-1.7B</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Execution environment:</w:t>
      </w:r>
      <w:r>
        <w:rPr>
          <w:rFonts w:ascii="Times New Roman" w:cs="Times New Roman" w:eastAsia="Times New Roman" w:hAnsi="Times New Roman"/>
          <w:sz w:val="24"/>
          <w:szCs w:val="24"/>
        </w:rPr>
        <w:t xml:space="preserve"> Google Colab</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GPU:</w:t>
      </w:r>
      <w:r>
        <w:rPr>
          <w:rFonts w:ascii="Times New Roman" w:cs="Times New Roman" w:eastAsia="Times New Roman" w:hAnsi="Times New Roman"/>
          <w:sz w:val="24"/>
          <w:szCs w:val="24"/>
        </w:rPr>
        <w:t xml:space="preserve"> NVIDIA Tesla T4</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Deep learning framework:</w:t>
      </w:r>
      <w:r>
        <w:rPr>
          <w:rFonts w:ascii="Times New Roman" w:cs="Times New Roman" w:eastAsia="Times New Roman" w:hAnsi="Times New Roman"/>
          <w:sz w:val="24"/>
          <w:szCs w:val="24"/>
        </w:rPr>
        <w:t xml:space="preserve"> PyTorch 2.11.0+cu130</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Transformers version:</w:t>
      </w:r>
      <w:r>
        <w:rPr>
          <w:rFonts w:ascii="Times New Roman" w:cs="Times New Roman" w:eastAsia="Times New Roman" w:hAnsi="Times New Roman"/>
          <w:sz w:val="24"/>
          <w:szCs w:val="24"/>
        </w:rPr>
        <w:t xml:space="preserve"> 5.20.1</w:t>
      </w:r>
    </w:p>
    <w:p>
      <w:pPr>
        <w:spacing w:after="160" w:before="120" w:line="276"/>
        <w:jc w:val="both"/>
      </w:pPr>
      <w:r>
        <w:rPr>
          <w:rFonts w:ascii="Times New Roman" w:cs="Times New Roman" w:eastAsia="Times New Roman" w:hAnsi="Times New Roman"/>
          <w:sz w:val="24"/>
          <w:szCs w:val="24"/>
        </w:rPr>
        <w:t xml:space="preserve">The model was run with thinking disabled and deterministic decoding settings. The generation configuration used </w:t>
      </w:r>
      <w:r>
        <w:rPr>
          <w:rFonts w:ascii="Courier New" w:cs="Courier New" w:eastAsia="Courier New" w:hAnsi="Courier New"/>
          <w:sz w:val="21"/>
          <w:szCs w:val="21"/>
        </w:rPr>
        <w:t xml:space="preserve">do_sample=False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max_new_tokens=300</w:t>
      </w:r>
      <w:r>
        <w:rPr>
          <w:rFonts w:ascii="Times New Roman" w:cs="Times New Roman" w:eastAsia="Times New Roman" w:hAnsi="Times New Roman"/>
          <w:sz w:val="24"/>
          <w:szCs w:val="24"/>
        </w:rPr>
        <w:t xml:space="preserve">.</w:t>
      </w:r>
    </w:p>
    <w:p>
      <w:pPr>
        <w:spacing w:after="160" w:line="276"/>
        <w:jc w:val="both"/>
      </w:pPr>
      <w:r>
        <w:rPr>
          <w:rFonts w:ascii="Times New Roman" w:cs="Times New Roman" w:eastAsia="Times New Roman" w:hAnsi="Times New Roman"/>
          <w:sz w:val="24"/>
          <w:szCs w:val="24"/>
        </w:rPr>
        <w:t xml:space="preserve">These settings were used to make the evaluation procedure consistent across cases. Deterministic decoding does not, by itself, establish that the results would generalize to different prompts, model versions, or mathematical datasets.</w:t>
      </w:r>
    </w:p>
    <w:p>
      <w:pPr>
        <w:pStyle w:val="Heading2"/>
      </w:pPr>
      <w:r>
        <w:t xml:space="preserve">3.3 Dataset</w:t>
      </w:r>
    </w:p>
    <w:p>
      <w:pPr>
        <w:keepNext/>
        <w:spacing w:after="160" w:line="276"/>
        <w:jc w:val="both"/>
      </w:pPr>
      <w:r>
        <w:rPr>
          <w:rFonts w:ascii="Times New Roman" w:cs="Times New Roman" w:eastAsia="Times New Roman" w:hAnsi="Times New Roman"/>
          <w:sz w:val="24"/>
          <w:szCs w:val="24"/>
        </w:rPr>
        <w:t xml:space="preserve">The evaluation dataset contained 25 mathematical cases related to uniform convergence. The cases covered issues such as:</w:t>
      </w:r>
    </w:p>
    <w:p>
      <w:pPr>
        <w:pStyle w:val="ListParagraph"/>
        <w:numPr>
          <w:ilvl w:val="0"/>
          <w:numId w:val="3"/>
        </w:numPr>
        <w:spacing w:after="80" w:line="276"/>
        <w:jc w:val="left"/>
      </w:pPr>
      <w:r>
        <w:rPr>
          <w:rFonts w:ascii="Times New Roman" w:cs="Times New Roman" w:eastAsia="Times New Roman" w:hAnsi="Times New Roman"/>
          <w:sz w:val="24"/>
          <w:szCs w:val="24"/>
        </w:rPr>
        <w:t xml:space="preserve">The distinction between pointwise and uniform convergence.</w:t>
      </w:r>
    </w:p>
    <w:p>
      <w:pPr>
        <w:pStyle w:val="ListParagraph"/>
        <w:numPr>
          <w:ilvl w:val="0"/>
          <w:numId w:val="3"/>
        </w:numPr>
        <w:spacing w:after="80" w:line="276"/>
        <w:jc w:val="left"/>
      </w:pPr>
      <w:r>
        <w:rPr>
          <w:rFonts w:ascii="Times New Roman" w:cs="Times New Roman" w:eastAsia="Times New Roman" w:hAnsi="Times New Roman"/>
          <w:sz w:val="24"/>
          <w:szCs w:val="24"/>
        </w:rPr>
        <w:t xml:space="preserve">Uniform convergence on bounded and unbounded domains.</w:t>
      </w:r>
    </w:p>
    <w:p>
      <w:pPr>
        <w:pStyle w:val="ListParagraph"/>
        <w:numPr>
          <w:ilvl w:val="0"/>
          <w:numId w:val="3"/>
        </w:numPr>
        <w:spacing w:after="80" w:line="276"/>
        <w:jc w:val="left"/>
      </w:pPr>
      <w:r>
        <w:rPr>
          <w:rFonts w:ascii="Times New Roman" w:cs="Times New Roman" w:eastAsia="Times New Roman" w:hAnsi="Times New Roman"/>
          <w:sz w:val="24"/>
          <w:szCs w:val="24"/>
        </w:rPr>
        <w:t xml:space="preserve">The use of inequalities to establish uniform convergence.</w:t>
      </w:r>
    </w:p>
    <w:p>
      <w:pPr>
        <w:pStyle w:val="ListParagraph"/>
        <w:numPr>
          <w:ilvl w:val="0"/>
          <w:numId w:val="3"/>
        </w:numPr>
        <w:spacing w:after="80" w:line="276"/>
        <w:jc w:val="left"/>
      </w:pPr>
      <w:r>
        <w:rPr>
          <w:rFonts w:ascii="Times New Roman" w:cs="Times New Roman" w:eastAsia="Times New Roman" w:hAnsi="Times New Roman"/>
          <w:sz w:val="24"/>
          <w:szCs w:val="24"/>
        </w:rPr>
        <w:t xml:space="preserve">The evaluation of maxima and suprema.</w:t>
      </w:r>
    </w:p>
    <w:p>
      <w:pPr>
        <w:pStyle w:val="ListParagraph"/>
        <w:numPr>
          <w:ilvl w:val="0"/>
          <w:numId w:val="3"/>
        </w:numPr>
        <w:spacing w:after="80" w:line="276"/>
        <w:jc w:val="left"/>
      </w:pPr>
      <w:r>
        <w:rPr>
          <w:rFonts w:ascii="Times New Roman" w:cs="Times New Roman" w:eastAsia="Times New Roman" w:hAnsi="Times New Roman"/>
          <w:sz w:val="24"/>
          <w:szCs w:val="24"/>
        </w:rPr>
        <w:t xml:space="preserve">The dependence of the convergence index </w:t>
      </w:r>
      <m:oMath>
        <m:r>
          <m:t>N</m:t>
        </m:r>
      </m:oMath>
      <w:r>
        <w:rPr>
          <w:rFonts w:ascii="Times New Roman" w:cs="Times New Roman" w:eastAsia="Times New Roman" w:hAnsi="Times New Roman"/>
          <w:sz w:val="24"/>
          <w:szCs w:val="24"/>
        </w:rPr>
        <w:t xml:space="preserve"> on </w:t>
      </w:r>
      <m:oMath>
        <m:r>
          <m:t>ε</m:t>
        </m:r>
      </m:oMath>
      <w:r>
        <w:rPr>
          <w:rFonts w:ascii="Times New Roman" w:cs="Times New Roman" w:eastAsia="Times New Roman" w:hAnsi="Times New Roman"/>
          <w:sz w:val="24"/>
          <w:szCs w:val="24"/>
        </w:rPr>
        <w:t xml:space="preserve"> and </w:t>
      </w:r>
      <m:oMath>
        <m:r>
          <m:t>x</m:t>
        </m:r>
      </m:oMath>
      <w:r>
        <w:rPr>
          <w:rFonts w:ascii="Times New Roman" w:cs="Times New Roman" w:eastAsia="Times New Roman" w:hAnsi="Times New Roman"/>
          <w:sz w:val="24"/>
          <w:szCs w:val="24"/>
        </w:rPr>
        <w:t xml:space="preserve">.</w:t>
      </w:r>
    </w:p>
    <w:p>
      <w:pPr>
        <w:pStyle w:val="ListParagraph"/>
        <w:numPr>
          <w:ilvl w:val="0"/>
          <w:numId w:val="3"/>
        </w:numPr>
        <w:spacing w:after="80" w:line="276"/>
        <w:jc w:val="left"/>
      </w:pPr>
      <w:r>
        <w:rPr>
          <w:rFonts w:ascii="Times New Roman" w:cs="Times New Roman" w:eastAsia="Times New Roman" w:hAnsi="Times New Roman"/>
          <w:sz w:val="24"/>
          <w:szCs w:val="24"/>
        </w:rPr>
        <w:t xml:space="preserve">The validity of mathematical explanations and proof arguments.</w:t>
      </w:r>
    </w:p>
    <w:p>
      <w:pPr>
        <w:spacing w:after="160" w:before="120" w:line="276"/>
        <w:jc w:val="both"/>
      </w:pPr>
      <w:r>
        <w:rPr>
          <w:rFonts w:ascii="Times New Roman" w:cs="Times New Roman" w:eastAsia="Times New Roman" w:hAnsi="Times New Roman"/>
          <w:sz w:val="24"/>
          <w:szCs w:val="24"/>
        </w:rPr>
        <w:t xml:space="preserve">The dataset was selected for this exploratory experiment and should not be treated as a random or representative sample of all mathematical problems.</w:t>
      </w:r>
    </w:p>
    <w:p>
      <w:pPr>
        <w:pStyle w:val="Heading2"/>
      </w:pPr>
      <w:r>
        <w:t xml:space="preserve">3.4 Prompting Procedure</w:t>
      </w:r>
    </w:p>
    <w:p>
      <w:pPr>
        <w:spacing w:after="160" w:line="276"/>
        <w:jc w:val="both"/>
      </w:pPr>
      <w:r>
        <w:rPr>
          <w:rFonts w:ascii="Times New Roman" w:cs="Times New Roman" w:eastAsia="Times New Roman" w:hAnsi="Times New Roman"/>
          <w:sz w:val="24"/>
          <w:szCs w:val="24"/>
        </w:rPr>
        <w:t xml:space="preserve">The original mathematical prompts were retained, and a standardized follow-up instruction was appended to request a consistent output structure.</w:t>
      </w:r>
    </w:p>
    <w:p>
      <w:pPr>
        <w:keepNext/>
        <w:spacing w:after="160" w:line="276"/>
        <w:jc w:val="both"/>
      </w:pPr>
      <w:r>
        <w:rPr>
          <w:rFonts w:ascii="Times New Roman" w:cs="Times New Roman" w:eastAsia="Times New Roman" w:hAnsi="Times New Roman"/>
          <w:sz w:val="24"/>
          <w:szCs w:val="24"/>
        </w:rPr>
        <w:t xml:space="preserve">The instruction required the model to provide:</w:t>
      </w:r>
    </w:p>
    <w:p>
      <w:pPr>
        <w:pStyle w:val="ListParagraph"/>
        <w:numPr>
          <w:ilvl w:val="0"/>
          <w:numId w:val="4"/>
        </w:numPr>
        <w:spacing w:after="80" w:line="276"/>
        <w:jc w:val="left"/>
      </w:pPr>
      <w:r>
        <w:rPr>
          <w:rFonts w:ascii="Times New Roman" w:cs="Times New Roman" w:eastAsia="Times New Roman" w:hAnsi="Times New Roman"/>
          <w:sz w:val="24"/>
          <w:szCs w:val="24"/>
        </w:rPr>
        <w:t xml:space="preserve">A verdict of CORRECT or INCORRECT.</w:t>
      </w:r>
    </w:p>
    <w:p>
      <w:pPr>
        <w:pStyle w:val="ListParagraph"/>
        <w:numPr>
          <w:ilvl w:val="0"/>
          <w:numId w:val="4"/>
        </w:numPr>
        <w:spacing w:after="80" w:line="276"/>
        <w:jc w:val="left"/>
      </w:pPr>
      <w:r>
        <w:rPr>
          <w:rFonts w:ascii="Times New Roman" w:cs="Times New Roman" w:eastAsia="Times New Roman" w:hAnsi="Times New Roman"/>
          <w:sz w:val="24"/>
          <w:szCs w:val="24"/>
        </w:rPr>
        <w:t xml:space="preserve">A mathematical explanation of at most three sentences.</w:t>
      </w:r>
    </w:p>
    <w:p>
      <w:pPr>
        <w:pStyle w:val="ListParagraph"/>
        <w:numPr>
          <w:ilvl w:val="0"/>
          <w:numId w:val="4"/>
        </w:numPr>
        <w:spacing w:after="80" w:line="276"/>
        <w:jc w:val="left"/>
      </w:pPr>
      <w:r>
        <w:rPr>
          <w:rFonts w:ascii="Times New Roman" w:cs="Times New Roman" w:eastAsia="Times New Roman" w:hAnsi="Times New Roman"/>
          <w:sz w:val="24"/>
          <w:szCs w:val="24"/>
        </w:rPr>
        <w:t xml:space="preserve">A confidence label of HIGH, MEDIUM, or LOW.</w:t>
      </w:r>
    </w:p>
    <w:p>
      <w:pPr>
        <w:pStyle w:val="ListParagraph"/>
        <w:numPr>
          <w:ilvl w:val="0"/>
          <w:numId w:val="4"/>
        </w:numPr>
        <w:spacing w:after="80" w:line="276"/>
        <w:jc w:val="left"/>
      </w:pPr>
      <w:r>
        <w:rPr>
          <w:rFonts w:ascii="Times New Roman" w:cs="Times New Roman" w:eastAsia="Times New Roman" w:hAnsi="Times New Roman"/>
          <w:sz w:val="24"/>
          <w:szCs w:val="24"/>
        </w:rPr>
        <w:t xml:space="preserve">A concise sentence explaining the stated confidence.</w:t>
      </w:r>
    </w:p>
    <w:p>
      <w:pPr>
        <w:spacing w:after="160" w:before="120" w:line="276"/>
        <w:jc w:val="both"/>
      </w:pPr>
      <w:r>
        <w:rPr>
          <w:rFonts w:ascii="Times New Roman" w:cs="Times New Roman" w:eastAsia="Times New Roman" w:hAnsi="Times New Roman"/>
          <w:sz w:val="24"/>
          <w:szCs w:val="24"/>
        </w:rPr>
        <w:t xml:space="preserve">This procedure was intended to make the output fields more consistent across cases.</w:t>
      </w:r>
    </w:p>
    <w:p>
      <w:pPr>
        <w:spacing w:after="160" w:line="276"/>
        <w:jc w:val="both"/>
      </w:pPr>
      <w:r>
        <w:rPr>
          <w:rFonts w:ascii="Times New Roman" w:cs="Times New Roman" w:eastAsia="Times New Roman" w:hAnsi="Times New Roman"/>
          <w:sz w:val="24"/>
          <w:szCs w:val="24"/>
        </w:rPr>
        <w:t xml:space="preserve">However, the original prompts were not completely rewritten into identical question formats. Some original instructions could therefore interact with the appended instruction. This is an important limitation when interpreting the results.</w:t>
      </w:r>
    </w:p>
    <w:p>
      <w:pPr>
        <w:pStyle w:val="Heading2"/>
      </w:pPr>
      <w:r>
        <w:t xml:space="preserve">3.5 Evaluation Metrics</w:t>
      </w:r>
    </w:p>
    <w:p>
      <w:pPr>
        <w:pStyle w:val="Heading3"/>
      </w:pPr>
      <w:r>
        <w:t xml:space="preserve">3.5.1 Verdict Accuracy</w:t>
      </w:r>
    </w:p>
    <w:p>
      <w:pPr>
        <w:keepNext/>
        <w:spacing w:after="0" w:line="276"/>
        <w:jc w:val="both"/>
      </w:pPr>
      <w:r>
        <w:rPr>
          <w:rFonts w:ascii="Times New Roman" w:cs="Times New Roman" w:eastAsia="Times New Roman" w:hAnsi="Times New Roman"/>
          <w:sz w:val="24"/>
          <w:szCs w:val="24"/>
        </w:rPr>
        <w:t xml:space="preserve">Verdict accuracy was calculated as the number of correct model verdicts divided by the total number of cases:</w:t>
      </w:r>
    </w:p>
    <w:p>
      <w:pPr>
        <w:tabs>
          <w:tab w:val="center" w:pos="4680"/>
          <w:tab w:val="right" w:pos="9360"/>
        </w:tabs>
        <w:spacing w:after="200" w:before="120" w:line="276"/>
      </w:pPr>
      <w:r>
        <w:rPr>
          <w:rFonts w:ascii="Times New Roman" w:cs="Times New Roman" w:eastAsia="Times New Roman" w:hAnsi="Times New Roman"/>
          <w:sz w:val="24"/>
          <w:szCs w:val="24"/>
        </w:rPr>
        <w:t xml:space="preserve">	</w:t>
      </w:r>
      <m:oMath>
        <m:r>
          <m:rPr>
            <m:nor/>
          </m:rPr>
          <w:rPr>
            <w:rFonts w:ascii="Times New Roman" w:hAnsi="Times New Roman"/>
          </w:rPr>
          <m:t xml:space="preserve">Accuracy (%)</m:t>
        </m:r>
        <m:r>
          <m:t>=</m:t>
        </m:r>
        <m:f>
          <m:num>
            <m:r>
              <m:rPr>
                <m:nor/>
              </m:rPr>
              <w:rPr>
                <w:rFonts w:ascii="Times New Roman" w:hAnsi="Times New Roman"/>
              </w:rPr>
              <m:t xml:space="preserve">Number of Correct Verdicts</m:t>
            </m:r>
          </m:num>
          <m:den>
            <m:r>
              <m:rPr>
                <m:nor/>
              </m:rPr>
              <w:rPr>
                <w:rFonts w:ascii="Times New Roman" w:hAnsi="Times New Roman"/>
              </w:rPr>
              <m:t xml:space="preserve">Total Number of Cases</m:t>
            </m:r>
          </m:den>
        </m:f>
        <m:r>
          <m:t>×100</m:t>
        </m:r>
      </m:oMath>
      <w:r>
        <w:rPr>
          <w:rFonts w:ascii="Times New Roman" w:cs="Times New Roman" w:eastAsia="Times New Roman" w:hAnsi="Times New Roman"/>
          <w:sz w:val="24"/>
          <w:szCs w:val="24"/>
        </w:rPr>
        <w:t xml:space="preserve">	(4)</w:t>
      </w:r>
    </w:p>
    <w:p>
      <w:pPr>
        <w:spacing w:after="160" w:line="276"/>
        <w:jc w:val="both"/>
      </w:pPr>
      <w:r>
        <w:rPr>
          <w:rFonts w:ascii="Times New Roman" w:cs="Times New Roman" w:eastAsia="Times New Roman" w:hAnsi="Times New Roman"/>
          <w:sz w:val="24"/>
          <w:szCs w:val="24"/>
        </w:rPr>
        <w:t xml:space="preserve">A verdict was counted as correct when it matched the reference verdict for that case.</w:t>
      </w:r>
    </w:p>
    <w:p>
      <w:pPr>
        <w:pStyle w:val="Heading3"/>
      </w:pPr>
      <w:r>
        <w:t xml:space="preserve">3.5.2 Confidence Distribution</w:t>
      </w:r>
    </w:p>
    <w:p>
      <w:pPr>
        <w:spacing w:after="160" w:line="276"/>
        <w:jc w:val="both"/>
      </w:pPr>
      <w:r>
        <w:rPr>
          <w:rFonts w:ascii="Times New Roman" w:cs="Times New Roman" w:eastAsia="Times New Roman" w:hAnsi="Times New Roman"/>
          <w:sz w:val="24"/>
          <w:szCs w:val="24"/>
        </w:rPr>
        <w:t xml:space="preserve">The number of HIGH, MEDIUM, and LOW labels was recorded. Accuracy was also calculated separately for each confidence category.</w:t>
      </w:r>
    </w:p>
    <w:p>
      <w:pPr>
        <w:spacing w:after="160" w:line="276"/>
        <w:jc w:val="both"/>
      </w:pPr>
      <w:r>
        <w:rPr>
          <w:rFonts w:ascii="Times New Roman" w:cs="Times New Roman" w:eastAsia="Times New Roman" w:hAnsi="Times New Roman"/>
          <w:sz w:val="24"/>
          <w:szCs w:val="24"/>
        </w:rPr>
        <w:t xml:space="preserve">These subgroup accuracies provide a descriptive comparison of observed correctness across confidence levels.</w:t>
      </w:r>
    </w:p>
    <w:p>
      <w:pPr>
        <w:pStyle w:val="Heading3"/>
      </w:pPr>
      <w:r>
        <w:t xml:space="preserve">3.5.3 Spearman’s Rank Correlation</w:t>
      </w:r>
    </w:p>
    <w:p>
      <w:pPr>
        <w:spacing w:after="160" w:line="276"/>
        <w:jc w:val="both"/>
      </w:pPr>
      <w:r>
        <w:rPr>
          <w:rFonts w:ascii="Times New Roman" w:cs="Times New Roman" w:eastAsia="Times New Roman" w:hAnsi="Times New Roman"/>
          <w:sz w:val="24"/>
          <w:szCs w:val="24"/>
        </w:rPr>
        <w:t xml:space="preserve">Spearman’s rank correlation was used to evaluate the monotonic association between verbal confidence and verdict correctness (Spearman, 1904).</w:t>
      </w:r>
    </w:p>
    <w:p>
      <w:pPr>
        <w:keepNext/>
        <w:spacing w:after="160" w:line="276"/>
        <w:jc w:val="both"/>
      </w:pPr>
      <w:r>
        <w:rPr>
          <w:rFonts w:ascii="Times New Roman" w:cs="Times New Roman" w:eastAsia="Times New Roman" w:hAnsi="Times New Roman"/>
          <w:sz w:val="24"/>
          <w:szCs w:val="24"/>
        </w:rPr>
        <w:t xml:space="preserve">The confidence labels were converted to ordinal scores (Table 1).</w:t>
      </w:r>
    </w:p>
    <w:p>
      <w:pPr>
        <w:keepNext/>
        <w:spacing w:after="100" w:before="200"/>
        <w:jc w:val="left"/>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i/>
          <w:iCs/>
          <w:sz w:val="22"/>
          <w:szCs w:val="22"/>
        </w:rPr>
        <w:t xml:space="preserve">Ordinal encoding of confidence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Confidence label</w:t>
            </w:r>
          </w:p>
        </w:tc>
        <w:tc>
          <w:tcPr>
            <w:tcW w:type="dxa" w:w="468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Ordinal score</w:t>
            </w:r>
          </w:p>
        </w:tc>
      </w:tr>
      <w:tr>
        <w:trPr>
          <w:cantSplit/>
        </w:trPr>
        <w:tc>
          <w:tcPr>
            <w:tcW w:type="dxa" w:w="46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LOW</w:t>
            </w:r>
          </w:p>
        </w:tc>
        <w:tc>
          <w:tcPr>
            <w:tcW w:type="dxa" w:w="46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1</w:t>
            </w:r>
          </w:p>
        </w:tc>
      </w:tr>
      <w:tr>
        <w:trPr>
          <w:cantSplit/>
        </w:trPr>
        <w:tc>
          <w:tcPr>
            <w:tcW w:type="dxa" w:w="46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MEDIUM</w:t>
            </w:r>
          </w:p>
        </w:tc>
        <w:tc>
          <w:tcPr>
            <w:tcW w:type="dxa" w:w="46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2</w:t>
            </w:r>
          </w:p>
        </w:tc>
      </w:tr>
      <w:tr>
        <w:trPr>
          <w:cantSplit/>
        </w:trPr>
        <w:tc>
          <w:tcPr>
            <w:tcW w:type="dxa" w:w="4680"/>
            <w:tcBorders>
              <w:top w:val="none" w:color="FFFFFF" w:sz="0"/>
              <w:left w:val="none" w:color="FFFFFF" w:sz="0"/>
              <w:bottom w:val="single" w:color="000000" w:sz="12"/>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HIGH</w:t>
            </w:r>
          </w:p>
        </w:tc>
        <w:tc>
          <w:tcPr>
            <w:tcW w:type="dxa" w:w="4680"/>
            <w:tcBorders>
              <w:top w:val="none" w:color="FFFFFF" w:sz="0"/>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3</w:t>
            </w:r>
          </w:p>
        </w:tc>
      </w:tr>
    </w:tbl>
    <w:p>
      <w:pPr>
        <w:spacing w:after="120"/>
      </w:pPr>
    </w:p>
    <w:p>
      <w:pPr>
        <w:keepNext/>
        <w:spacing w:after="160" w:line="276"/>
        <w:jc w:val="both"/>
      </w:pPr>
      <w:r>
        <w:rPr>
          <w:rFonts w:ascii="Times New Roman" w:cs="Times New Roman" w:eastAsia="Times New Roman" w:hAnsi="Times New Roman"/>
          <w:sz w:val="24"/>
          <w:szCs w:val="24"/>
        </w:rPr>
        <w:t xml:space="preserve">Verdict correctness was represented as a binary variable:</w:t>
      </w:r>
    </w:p>
    <w:p>
      <w:pPr>
        <w:pStyle w:val="ListParagraph"/>
        <w:numPr>
          <w:ilvl w:val="0"/>
          <w:numId w:val="3"/>
        </w:numPr>
        <w:spacing w:after="80" w:line="276"/>
        <w:jc w:val="left"/>
      </w:pPr>
      <w:r>
        <w:rPr>
          <w:rFonts w:ascii="Times New Roman" w:cs="Times New Roman" w:eastAsia="Times New Roman" w:hAnsi="Times New Roman"/>
          <w:sz w:val="24"/>
          <w:szCs w:val="24"/>
        </w:rPr>
        <w:t xml:space="preserve">1 = correct verdict.</w:t>
      </w:r>
    </w:p>
    <w:p>
      <w:pPr>
        <w:pStyle w:val="ListParagraph"/>
        <w:numPr>
          <w:ilvl w:val="0"/>
          <w:numId w:val="3"/>
        </w:numPr>
        <w:spacing w:after="80" w:line="276"/>
        <w:jc w:val="left"/>
      </w:pPr>
      <w:r>
        <w:rPr>
          <w:rFonts w:ascii="Times New Roman" w:cs="Times New Roman" w:eastAsia="Times New Roman" w:hAnsi="Times New Roman"/>
          <w:sz w:val="24"/>
          <w:szCs w:val="24"/>
        </w:rPr>
        <w:t xml:space="preserve">0 = incorrect verdict.</w:t>
      </w:r>
    </w:p>
    <w:p>
      <w:pPr>
        <w:spacing w:after="160" w:before="120" w:line="276"/>
        <w:jc w:val="both"/>
      </w:pPr>
      <w:r>
        <w:rPr>
          <w:rFonts w:ascii="Times New Roman" w:cs="Times New Roman" w:eastAsia="Times New Roman" w:hAnsi="Times New Roman"/>
          <w:sz w:val="24"/>
          <w:szCs w:val="24"/>
        </w:rPr>
        <w:t xml:space="preserve">The analysis calculated Spearman’s correlation coefficient, </w:t>
      </w:r>
      <m:oMath>
        <m:r>
          <m:t>ρ</m:t>
        </m:r>
      </m:oMath>
      <w:r>
        <w:rPr>
          <w:rFonts w:ascii="Times New Roman" w:cs="Times New Roman" w:eastAsia="Times New Roman" w:hAnsi="Times New Roman"/>
          <w:sz w:val="24"/>
          <w:szCs w:val="24"/>
        </w:rPr>
        <w:t xml:space="preserve">, and its associated p-value.</w:t>
      </w:r>
    </w:p>
    <w:p>
      <w:pPr>
        <w:spacing w:after="160" w:line="276"/>
        <w:jc w:val="both"/>
      </w:pPr>
      <w:r>
        <w:rPr>
          <w:rFonts w:ascii="Times New Roman" w:cs="Times New Roman" w:eastAsia="Times New Roman" w:hAnsi="Times New Roman"/>
          <w:sz w:val="24"/>
          <w:szCs w:val="24"/>
        </w:rPr>
        <w:t xml:space="preserve">A positive coefficient would indicate that higher confidence tends to accompany correct verdicts, while a negative coefficient would indicate the opposite tendency. A coefficient near zero indicates little observed monotonic association in the sample.</w:t>
      </w:r>
    </w:p>
    <w:p>
      <w:pPr>
        <w:spacing w:after="160" w:line="276"/>
        <w:jc w:val="both"/>
      </w:pPr>
      <w:r>
        <w:rPr>
          <w:rFonts w:ascii="Times New Roman" w:cs="Times New Roman" w:eastAsia="Times New Roman" w:hAnsi="Times New Roman"/>
          <w:sz w:val="24"/>
          <w:szCs w:val="24"/>
        </w:rPr>
        <w:t xml:space="preserve">The p-value was interpreted using the conventional 0.05 significance threshold. Statistical significance and effect size were considered separately.</w:t>
      </w:r>
    </w:p>
    <w:p>
      <w:pPr>
        <w:pStyle w:val="Heading3"/>
      </w:pPr>
      <w:r>
        <w:t xml:space="preserve">3.5.4 Reasoning Review</w:t>
      </w:r>
    </w:p>
    <w:p>
      <w:pPr>
        <w:keepNext/>
        <w:spacing w:after="160" w:line="276"/>
        <w:jc w:val="both"/>
      </w:pPr>
      <w:r>
        <w:rPr>
          <w:rFonts w:ascii="Times New Roman" w:cs="Times New Roman" w:eastAsia="Times New Roman" w:hAnsi="Times New Roman"/>
          <w:sz w:val="24"/>
          <w:szCs w:val="24"/>
        </w:rPr>
        <w:t xml:space="preserve">Each mathematical explanation was assigned one of three preliminary review labels:</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CORRECT:</w:t>
      </w:r>
      <w:r>
        <w:rPr>
          <w:rFonts w:ascii="Times New Roman" w:cs="Times New Roman" w:eastAsia="Times New Roman" w:hAnsi="Times New Roman"/>
          <w:sz w:val="24"/>
          <w:szCs w:val="24"/>
        </w:rPr>
        <w:t xml:space="preserve"> the core mathematical argument is sound and contains no material mathematical error.</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PARTIALLY_INCORRECT:</w:t>
      </w:r>
      <w:r>
        <w:rPr>
          <w:rFonts w:ascii="Times New Roman" w:cs="Times New Roman" w:eastAsia="Times New Roman" w:hAnsi="Times New Roman"/>
          <w:sz w:val="24"/>
          <w:szCs w:val="24"/>
        </w:rPr>
        <w:t xml:space="preserve"> the explanation contains a relevant idea or a potentially correct conclusion but also includes a material mathematical error, misleading statement, or important omission.</w:t>
      </w:r>
    </w:p>
    <w:p>
      <w:pPr>
        <w:pStyle w:val="ListParagraph"/>
        <w:numPr>
          <w:ilvl w:val="0"/>
          <w:numId w:val="3"/>
        </w:numPr>
        <w:spacing w:after="80" w:line="276"/>
        <w:jc w:val="left"/>
      </w:pPr>
      <w:r>
        <w:rPr>
          <w:rFonts w:ascii="Times New Roman" w:cs="Times New Roman" w:eastAsia="Times New Roman" w:hAnsi="Times New Roman"/>
          <w:b/>
          <w:bCs/>
          <w:sz w:val="24"/>
          <w:szCs w:val="24"/>
        </w:rPr>
        <w:t xml:space="preserve">INCORRECT:</w:t>
      </w:r>
      <w:r>
        <w:rPr>
          <w:rFonts w:ascii="Times New Roman" w:cs="Times New Roman" w:eastAsia="Times New Roman" w:hAnsi="Times New Roman"/>
          <w:sz w:val="24"/>
          <w:szCs w:val="24"/>
        </w:rPr>
        <w:t xml:space="preserve"> the core explanation is mathematically wrong, internally contradictory, or materially fails to support the stated conclusion.</w:t>
      </w:r>
    </w:p>
    <w:p>
      <w:pPr>
        <w:spacing w:after="160" w:before="120" w:line="276"/>
        <w:jc w:val="both"/>
      </w:pPr>
      <w:r>
        <w:rPr>
          <w:rFonts w:ascii="Times New Roman" w:cs="Times New Roman" w:eastAsia="Times New Roman" w:hAnsi="Times New Roman"/>
          <w:sz w:val="24"/>
          <w:szCs w:val="24"/>
        </w:rPr>
        <w:t xml:space="preserve">This review was conducted separately from verdict scoring. The annotations were preliminary and were not independently validated by multiple reviewers.</w:t>
      </w:r>
    </w:p>
    <w:p>
      <w:pPr>
        <w:pStyle w:val="Heading1"/>
      </w:pPr>
      <w:r>
        <w:t xml:space="preserve">4. Results</w:t>
      </w:r>
    </w:p>
    <w:p>
      <w:pPr>
        <w:pStyle w:val="Heading2"/>
      </w:pPr>
      <w:r>
        <w:t xml:space="preserve">4.1 Overall Verdict Accuracy</w:t>
      </w:r>
    </w:p>
    <w:p>
      <w:pPr>
        <w:keepNext/>
        <w:spacing w:after="160" w:line="276"/>
        <w:jc w:val="both"/>
      </w:pPr>
      <w:r>
        <w:rPr>
          <w:rFonts w:ascii="Times New Roman" w:cs="Times New Roman" w:eastAsia="Times New Roman" w:hAnsi="Times New Roman"/>
          <w:sz w:val="24"/>
          <w:szCs w:val="24"/>
        </w:rPr>
        <w:t xml:space="preserve">The model produced correct verdicts in 16 of the 25 evaluated cases (Table 2).</w:t>
      </w:r>
    </w:p>
    <w:p>
      <w:pPr>
        <w:keepNext/>
        <w:spacing w:after="100" w:before="200"/>
        <w:jc w:val="left"/>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i/>
          <w:iCs/>
          <w:sz w:val="22"/>
          <w:szCs w:val="22"/>
        </w:rPr>
        <w:t xml:space="preserve">Overall verdict accuracy of Qwen3-1.7B.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cantSplit/>
          <w:tblHeader/>
        </w:trPr>
        <w:tc>
          <w:tcPr>
            <w:tcW w:type="dxa" w:w="540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Metric</w:t>
            </w:r>
          </w:p>
        </w:tc>
        <w:tc>
          <w:tcPr>
            <w:tcW w:type="dxa" w:w="396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Result</w:t>
            </w:r>
          </w:p>
        </w:tc>
      </w:tr>
      <w:tr>
        <w:trPr>
          <w:cantSplit/>
        </w:trPr>
        <w:tc>
          <w:tcPr>
            <w:tcW w:type="dxa" w:w="54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Total cases</w:t>
            </w:r>
          </w:p>
        </w:tc>
        <w:tc>
          <w:tcPr>
            <w:tcW w:type="dxa" w:w="39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25</w:t>
            </w:r>
          </w:p>
        </w:tc>
      </w:tr>
      <w:tr>
        <w:trPr>
          <w:cantSplit/>
        </w:trPr>
        <w:tc>
          <w:tcPr>
            <w:tcW w:type="dxa" w:w="54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Correct verdicts</w:t>
            </w:r>
          </w:p>
        </w:tc>
        <w:tc>
          <w:tcPr>
            <w:tcW w:type="dxa" w:w="39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16</w:t>
            </w:r>
          </w:p>
        </w:tc>
      </w:tr>
      <w:tr>
        <w:trPr>
          <w:cantSplit/>
        </w:trPr>
        <w:tc>
          <w:tcPr>
            <w:tcW w:type="dxa" w:w="54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Incorrect verdicts</w:t>
            </w:r>
          </w:p>
        </w:tc>
        <w:tc>
          <w:tcPr>
            <w:tcW w:type="dxa" w:w="39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9</w:t>
            </w:r>
          </w:p>
        </w:tc>
      </w:tr>
      <w:tr>
        <w:trPr>
          <w:cantSplit/>
        </w:trPr>
        <w:tc>
          <w:tcPr>
            <w:tcW w:type="dxa" w:w="5400"/>
            <w:tcBorders>
              <w:top w:val="none" w:color="FFFFFF" w:sz="0"/>
              <w:left w:val="none" w:color="FFFFFF" w:sz="0"/>
              <w:bottom w:val="single" w:color="000000" w:sz="12"/>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Verdict accuracy</w:t>
            </w:r>
          </w:p>
        </w:tc>
        <w:tc>
          <w:tcPr>
            <w:tcW w:type="dxa" w:w="3960"/>
            <w:tcBorders>
              <w:top w:val="none" w:color="FFFFFF" w:sz="0"/>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64.0%</w:t>
            </w:r>
          </w:p>
        </w:tc>
      </w:tr>
    </w:tbl>
    <w:p>
      <w:pPr>
        <w:spacing w:after="120"/>
      </w:pPr>
    </w:p>
    <w:p>
      <w:pPr>
        <w:keepNext/>
        <w:spacing w:after="0" w:line="276"/>
        <w:jc w:val="both"/>
      </w:pPr>
      <w:r>
        <w:rPr>
          <w:rFonts w:ascii="Times New Roman" w:cs="Times New Roman" w:eastAsia="Times New Roman" w:hAnsi="Times New Roman"/>
          <w:sz w:val="24"/>
          <w:szCs w:val="24"/>
        </w:rPr>
        <w:t xml:space="preserve">Applying the accuracy formula in Equation (4) to this experiment gives:</w:t>
      </w:r>
    </w:p>
    <w:p>
      <w:pPr>
        <w:tabs>
          <w:tab w:val="center" w:pos="4680"/>
          <w:tab w:val="right" w:pos="9360"/>
        </w:tabs>
        <w:spacing w:after="200" w:before="120" w:line="276"/>
      </w:pPr>
      <w:r>
        <w:rPr>
          <w:rFonts w:ascii="Times New Roman" w:cs="Times New Roman" w:eastAsia="Times New Roman" w:hAnsi="Times New Roman"/>
          <w:sz w:val="24"/>
          <w:szCs w:val="24"/>
        </w:rPr>
        <w:t xml:space="preserve">	</w:t>
      </w:r>
      <m:oMath>
        <m:r>
          <m:rPr>
            <m:nor/>
          </m:rPr>
          <w:rPr>
            <w:rFonts w:ascii="Times New Roman" w:hAnsi="Times New Roman"/>
          </w:rPr>
          <m:t xml:space="preserve">Accuracy (%)</m:t>
        </m:r>
        <m:r>
          <m:t>=</m:t>
        </m:r>
        <m:f>
          <m:num>
            <m:r>
              <m:t>16</m:t>
            </m:r>
          </m:num>
          <m:den>
            <m:r>
              <m:t>25</m:t>
            </m:r>
          </m:den>
        </m:f>
        <m:r>
          <m:t>×100=64%</m:t>
        </m:r>
      </m:oMath>
      <w:r>
        <w:rPr>
          <w:rFonts w:ascii="Times New Roman" w:cs="Times New Roman" w:eastAsia="Times New Roman" w:hAnsi="Times New Roman"/>
          <w:sz w:val="24"/>
          <w:szCs w:val="24"/>
        </w:rPr>
        <w:t xml:space="preserve">	(5)</w:t>
      </w:r>
    </w:p>
    <w:p>
      <w:pPr>
        <w:spacing w:after="160" w:line="276"/>
        <w:jc w:val="both"/>
      </w:pPr>
      <w:r>
        <w:rPr>
          <w:rFonts w:ascii="Times New Roman" w:cs="Times New Roman" w:eastAsia="Times New Roman" w:hAnsi="Times New Roman"/>
          <w:sz w:val="24"/>
          <w:szCs w:val="24"/>
        </w:rPr>
        <w:t xml:space="preserve">Thus, the model did not correctly classify all cases, and its verdicts were not consistently reliable across the selected mathematical examples.</w:t>
      </w:r>
    </w:p>
    <w:p>
      <w:pPr>
        <w:spacing w:after="160" w:line="276"/>
        <w:jc w:val="both"/>
      </w:pPr>
      <w:r>
        <w:rPr>
          <w:rFonts w:ascii="Times New Roman" w:cs="Times New Roman" w:eastAsia="Times New Roman" w:hAnsi="Times New Roman"/>
          <w:sz w:val="24"/>
          <w:szCs w:val="24"/>
        </w:rPr>
        <w:t xml:space="preserve">This result describes performance on the evaluated dataset only. It should not be interpreted as a general estimate of the model’s accuracy on all mathematical reasoning tasks.</w:t>
      </w:r>
    </w:p>
    <w:p>
      <w:pPr>
        <w:pStyle w:val="Heading2"/>
      </w:pPr>
      <w:r>
        <w:t xml:space="preserve">4.2 Confidence Distribution and Accuracy</w:t>
      </w:r>
    </w:p>
    <w:p>
      <w:pPr>
        <w:keepNext/>
        <w:spacing w:after="160" w:line="276"/>
        <w:jc w:val="both"/>
      </w:pPr>
      <w:r>
        <w:rPr>
          <w:rFonts w:ascii="Times New Roman" w:cs="Times New Roman" w:eastAsia="Times New Roman" w:hAnsi="Times New Roman"/>
          <w:sz w:val="24"/>
          <w:szCs w:val="24"/>
        </w:rPr>
        <w:t xml:space="preserve">The confidence labels and corresponding correctness rates were distributed as shown in Table 3.</w:t>
      </w:r>
    </w:p>
    <w:p>
      <w:pPr>
        <w:keepNext/>
        <w:spacing w:after="100" w:before="200"/>
        <w:jc w:val="left"/>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i/>
          <w:iCs/>
          <w:sz w:val="22"/>
          <w:szCs w:val="22"/>
        </w:rPr>
        <w:t xml:space="preserve">Verdict accuracy by verbal confidence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60"/>
        <w:gridCol w:w="2100"/>
        <w:gridCol w:w="1800"/>
      </w:tblGrid>
      <w:tr>
        <w:trPr>
          <w:cantSplit/>
          <w:tblHeader/>
        </w:trPr>
        <w:tc>
          <w:tcPr>
            <w:tcW w:type="dxa" w:w="190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Confidence</w:t>
            </w:r>
          </w:p>
        </w:tc>
        <w:tc>
          <w:tcPr>
            <w:tcW w:type="dxa" w:w="150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Cases</w:t>
            </w:r>
          </w:p>
        </w:tc>
        <w:tc>
          <w:tcPr>
            <w:tcW w:type="dxa" w:w="206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Correct verdicts</w:t>
            </w:r>
          </w:p>
        </w:tc>
        <w:tc>
          <w:tcPr>
            <w:tcW w:type="dxa" w:w="210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Incorrect verdicts</w:t>
            </w:r>
          </w:p>
        </w:tc>
        <w:tc>
          <w:tcPr>
            <w:tcW w:type="dxa" w:w="180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Accuracy</w:t>
            </w:r>
          </w:p>
        </w:tc>
      </w:tr>
      <w:tr>
        <w:trPr>
          <w:cantSplit/>
        </w:trPr>
        <w:tc>
          <w:tcPr>
            <w:tcW w:type="dxa" w:w="19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HIGH</w:t>
            </w:r>
          </w:p>
        </w:tc>
        <w:tc>
          <w:tcPr>
            <w:tcW w:type="dxa" w:w="15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5</w:t>
            </w:r>
          </w:p>
        </w:tc>
        <w:tc>
          <w:tcPr>
            <w:tcW w:type="dxa" w:w="20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4</w:t>
            </w:r>
          </w:p>
        </w:tc>
        <w:tc>
          <w:tcPr>
            <w:tcW w:type="dxa" w:w="21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1</w:t>
            </w:r>
          </w:p>
        </w:tc>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80.0%</w:t>
            </w:r>
          </w:p>
        </w:tc>
      </w:tr>
      <w:tr>
        <w:trPr>
          <w:cantSplit/>
        </w:trPr>
        <w:tc>
          <w:tcPr>
            <w:tcW w:type="dxa" w:w="19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MEDIUM</w:t>
            </w:r>
          </w:p>
        </w:tc>
        <w:tc>
          <w:tcPr>
            <w:tcW w:type="dxa" w:w="15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3</w:t>
            </w:r>
          </w:p>
        </w:tc>
        <w:tc>
          <w:tcPr>
            <w:tcW w:type="dxa" w:w="20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1</w:t>
            </w:r>
          </w:p>
        </w:tc>
        <w:tc>
          <w:tcPr>
            <w:tcW w:type="dxa" w:w="21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2</w:t>
            </w:r>
          </w:p>
        </w:tc>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33.3%</w:t>
            </w:r>
          </w:p>
        </w:tc>
      </w:tr>
      <w:tr>
        <w:trPr>
          <w:cantSplit/>
        </w:trPr>
        <w:tc>
          <w:tcPr>
            <w:tcW w:type="dxa" w:w="19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LOW</w:t>
            </w:r>
          </w:p>
        </w:tc>
        <w:tc>
          <w:tcPr>
            <w:tcW w:type="dxa" w:w="15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17</w:t>
            </w:r>
          </w:p>
        </w:tc>
        <w:tc>
          <w:tcPr>
            <w:tcW w:type="dxa" w:w="20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11</w:t>
            </w:r>
          </w:p>
        </w:tc>
        <w:tc>
          <w:tcPr>
            <w:tcW w:type="dxa" w:w="21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6</w:t>
            </w:r>
          </w:p>
        </w:tc>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64.7%</w:t>
            </w:r>
          </w:p>
        </w:tc>
      </w:tr>
      <w:tr>
        <w:trPr>
          <w:cantSplit/>
        </w:trPr>
        <w:tc>
          <w:tcPr>
            <w:tcW w:type="dxa" w:w="1900"/>
            <w:tcBorders>
              <w:top w:val="single" w:color="000000" w:sz="6"/>
              <w:left w:val="none" w:color="FFFFFF" w:sz="0"/>
              <w:bottom w:val="single" w:color="000000" w:sz="12"/>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Total</w:t>
            </w:r>
          </w:p>
        </w:tc>
        <w:tc>
          <w:tcPr>
            <w:tcW w:type="dxa" w:w="1500"/>
            <w:tcBorders>
              <w:top w:val="single" w:color="000000" w:sz="6"/>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25</w:t>
            </w:r>
          </w:p>
        </w:tc>
        <w:tc>
          <w:tcPr>
            <w:tcW w:type="dxa" w:w="2060"/>
            <w:tcBorders>
              <w:top w:val="single" w:color="000000" w:sz="6"/>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16</w:t>
            </w:r>
          </w:p>
        </w:tc>
        <w:tc>
          <w:tcPr>
            <w:tcW w:type="dxa" w:w="2100"/>
            <w:tcBorders>
              <w:top w:val="single" w:color="000000" w:sz="6"/>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9</w:t>
            </w:r>
          </w:p>
        </w:tc>
        <w:tc>
          <w:tcPr>
            <w:tcW w:type="dxa" w:w="1800"/>
            <w:tcBorders>
              <w:top w:val="single" w:color="000000" w:sz="6"/>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64.0%</w:t>
            </w:r>
          </w:p>
        </w:tc>
      </w:tr>
    </w:tbl>
    <w:p>
      <w:pPr>
        <w:spacing w:after="120"/>
      </w:pPr>
    </w:p>
    <w:p>
      <w:pPr>
        <w:spacing w:after="160" w:line="276"/>
        <w:jc w:val="both"/>
      </w:pPr>
      <w:r>
        <w:rPr>
          <w:rFonts w:ascii="Times New Roman" w:cs="Times New Roman" w:eastAsia="Times New Roman" w:hAnsi="Times New Roman"/>
          <w:sz w:val="24"/>
          <w:szCs w:val="24"/>
        </w:rPr>
        <w:t xml:space="preserve">The HIGH-confidence group had the highest observed accuracy, at 80.0%. However, the LOW-confidence group had an accuracy of 64.7%, while the MEDIUM-confidence group had an accuracy of 33.3%.</w:t>
      </w:r>
    </w:p>
    <w:p>
      <w:pPr>
        <w:spacing w:after="160" w:line="276"/>
        <w:jc w:val="both"/>
      </w:pPr>
      <w:r>
        <w:rPr>
          <w:rFonts w:ascii="Times New Roman" w:cs="Times New Roman" w:eastAsia="Times New Roman" w:hAnsi="Times New Roman"/>
          <w:sz w:val="24"/>
          <w:szCs w:val="24"/>
        </w:rPr>
        <w:t xml:space="preserve">The results do not show a consistent increase in accuracy across the ordered confidence categories. In particular, the MEDIUM group performed less accurately than both the LOW and HIGH groups.</w:t>
      </w:r>
    </w:p>
    <w:p>
      <w:pPr>
        <w:spacing w:after="160" w:line="276"/>
        <w:jc w:val="both"/>
      </w:pPr>
      <w:r>
        <w:rPr>
          <w:rFonts w:ascii="Times New Roman" w:cs="Times New Roman" w:eastAsia="Times New Roman" w:hAnsi="Times New Roman"/>
          <w:sz w:val="24"/>
          <w:szCs w:val="24"/>
        </w:rPr>
        <w:t xml:space="preserve">The subgroup sizes were small, especially for MEDIUM and HIGH confidence. Consequently, these percentages are descriptive and should not be interpreted as stable estimates of performance for each confidence category.</w:t>
      </w:r>
    </w:p>
    <w:p>
      <w:pPr>
        <w:pStyle w:val="Heading2"/>
      </w:pPr>
      <w:r>
        <w:t xml:space="preserve">4.3 Association Between Confidence and Correctness</w:t>
      </w:r>
    </w:p>
    <w:p>
      <w:pPr>
        <w:keepNext/>
        <w:spacing w:after="160" w:line="276"/>
        <w:jc w:val="both"/>
      </w:pPr>
      <w:r>
        <w:rPr>
          <w:rFonts w:ascii="Times New Roman" w:cs="Times New Roman" w:eastAsia="Times New Roman" w:hAnsi="Times New Roman"/>
          <w:sz w:val="24"/>
          <w:szCs w:val="24"/>
        </w:rPr>
        <w:t xml:space="preserve">The Spearman correlation analysis produced the results shown in Table 4.</w:t>
      </w:r>
    </w:p>
    <w:p>
      <w:pPr>
        <w:keepNext/>
        <w:spacing w:after="100" w:before="200"/>
        <w:jc w:val="left"/>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i/>
          <w:iCs/>
          <w:sz w:val="22"/>
          <w:szCs w:val="22"/>
        </w:rPr>
        <w:t xml:space="preserve">Spearman rank correlation between confidence and verdict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cantSplit/>
          <w:tblHeader/>
        </w:trPr>
        <w:tc>
          <w:tcPr>
            <w:tcW w:type="dxa" w:w="540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Statistical measure</w:t>
            </w:r>
          </w:p>
        </w:tc>
        <w:tc>
          <w:tcPr>
            <w:tcW w:type="dxa" w:w="396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Value</w:t>
            </w:r>
          </w:p>
        </w:tc>
      </w:tr>
      <w:tr>
        <w:trPr>
          <w:cantSplit/>
        </w:trPr>
        <w:tc>
          <w:tcPr>
            <w:tcW w:type="dxa" w:w="54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Sample size</w:t>
            </w:r>
          </w:p>
        </w:tc>
        <w:tc>
          <w:tcPr>
            <w:tcW w:type="dxa" w:w="39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25</w:t>
            </w:r>
          </w:p>
        </w:tc>
      </w:tr>
      <w:tr>
        <w:trPr>
          <w:cantSplit/>
        </w:trPr>
        <w:tc>
          <w:tcPr>
            <w:tcW w:type="dxa" w:w="54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Spearman’s </w:t>
            </w:r>
            <m:oMath>
              <m:r>
                <m:t>ρ</m:t>
              </m:r>
            </m:oMath>
          </w:p>
        </w:tc>
        <w:tc>
          <w:tcPr>
            <w:tcW w:type="dxa" w:w="39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0.0281</w:t>
            </w:r>
          </w:p>
        </w:tc>
      </w:tr>
      <w:tr>
        <w:trPr>
          <w:cantSplit/>
        </w:trPr>
        <w:tc>
          <w:tcPr>
            <w:tcW w:type="dxa" w:w="54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p-value</w:t>
            </w:r>
          </w:p>
        </w:tc>
        <w:tc>
          <w:tcPr>
            <w:tcW w:type="dxa" w:w="39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0.8940</w:t>
            </w:r>
          </w:p>
        </w:tc>
      </w:tr>
      <w:tr>
        <w:trPr>
          <w:cantSplit/>
        </w:trPr>
        <w:tc>
          <w:tcPr>
            <w:tcW w:type="dxa" w:w="5400"/>
            <w:tcBorders>
              <w:top w:val="none" w:color="FFFFFF" w:sz="0"/>
              <w:left w:val="none" w:color="FFFFFF" w:sz="0"/>
              <w:bottom w:val="single" w:color="000000" w:sz="12"/>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Significance threshold</w:t>
            </w:r>
          </w:p>
        </w:tc>
        <w:tc>
          <w:tcPr>
            <w:tcW w:type="dxa" w:w="3960"/>
            <w:tcBorders>
              <w:top w:val="none" w:color="FFFFFF" w:sz="0"/>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0.05</w:t>
            </w:r>
          </w:p>
        </w:tc>
      </w:tr>
    </w:tbl>
    <w:p>
      <w:pPr>
        <w:spacing w:after="120"/>
      </w:pPr>
    </w:p>
    <w:p>
      <w:pPr>
        <w:spacing w:after="160" w:line="276"/>
        <w:jc w:val="both"/>
      </w:pPr>
      <w:r>
        <w:rPr>
          <w:rFonts w:ascii="Times New Roman" w:cs="Times New Roman" w:eastAsia="Times New Roman" w:hAnsi="Times New Roman"/>
          <w:sz w:val="24"/>
          <w:szCs w:val="24"/>
        </w:rPr>
        <w:t xml:space="preserve">The correlation coefficient of 0.0281 is very close to zero, indicating almost no observed monotonic association between the confidence scores and verdict correctness in this sample.</w:t>
      </w:r>
    </w:p>
    <w:p>
      <w:pPr>
        <w:spacing w:after="160" w:line="276"/>
        <w:jc w:val="both"/>
      </w:pPr>
      <w:r>
        <w:rPr>
          <w:rFonts w:ascii="Times New Roman" w:cs="Times New Roman" w:eastAsia="Times New Roman" w:hAnsi="Times New Roman"/>
          <w:sz w:val="24"/>
          <w:szCs w:val="24"/>
        </w:rPr>
        <w:t xml:space="preserve">The p-value of 0.8940 is greater than the 0.05 significance threshold. Therefore, the analysis did not find statistically significant evidence of a monotonic association.</w:t>
      </w:r>
    </w:p>
    <w:p>
      <w:pPr>
        <w:spacing w:after="160" w:line="276"/>
        <w:jc w:val="both"/>
      </w:pPr>
      <w:r>
        <w:rPr>
          <w:rFonts w:ascii="Times New Roman" w:cs="Times New Roman" w:eastAsia="Times New Roman" w:hAnsi="Times New Roman"/>
          <w:sz w:val="24"/>
          <w:szCs w:val="24"/>
        </w:rPr>
        <w:t xml:space="preserve">The result does not prove that confidence and correctness are unrelated in general. Instead, it indicates that this experiment did not provide evidence of a meaningful monotonic relationship in the selected 25 cases.</w:t>
      </w:r>
    </w:p>
    <w:p>
      <w:pPr>
        <w:pStyle w:val="Heading2"/>
      </w:pPr>
      <w:r>
        <w:t xml:space="preserve">4.4 Mathematical Reasoning Review</w:t>
      </w:r>
    </w:p>
    <w:p>
      <w:pPr>
        <w:keepNext/>
        <w:spacing w:after="160" w:line="276"/>
        <w:jc w:val="both"/>
      </w:pPr>
      <w:r>
        <w:rPr>
          <w:rFonts w:ascii="Times New Roman" w:cs="Times New Roman" w:eastAsia="Times New Roman" w:hAnsi="Times New Roman"/>
          <w:sz w:val="24"/>
          <w:szCs w:val="24"/>
        </w:rPr>
        <w:t xml:space="preserve">The preliminary review of the model’s explanations produced the distribution shown in Table 5.</w:t>
      </w:r>
    </w:p>
    <w:p>
      <w:pPr>
        <w:keepNext/>
        <w:spacing w:after="100" w:before="200"/>
        <w:jc w:val="left"/>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i/>
          <w:iCs/>
          <w:sz w:val="22"/>
          <w:szCs w:val="22"/>
        </w:rPr>
        <w:t xml:space="preserve">Preliminary reasoning review of model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cantSplit/>
          <w:tblHeader/>
        </w:trPr>
        <w:tc>
          <w:tcPr>
            <w:tcW w:type="dxa" w:w="380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Reasoning label</w:t>
            </w:r>
          </w:p>
        </w:tc>
        <w:tc>
          <w:tcPr>
            <w:tcW w:type="dxa" w:w="278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Number of cases</w:t>
            </w:r>
          </w:p>
        </w:tc>
        <w:tc>
          <w:tcPr>
            <w:tcW w:type="dxa" w:w="278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Percentage</w:t>
            </w:r>
          </w:p>
        </w:tc>
      </w:tr>
      <w:tr>
        <w:trPr>
          <w:cantSplit/>
        </w:trPr>
        <w:tc>
          <w:tcPr>
            <w:tcW w:type="dxa" w:w="38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CORRECT</w:t>
            </w:r>
          </w:p>
        </w:tc>
        <w:tc>
          <w:tcPr>
            <w:tcW w:type="dxa" w:w="27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8</w:t>
            </w:r>
          </w:p>
        </w:tc>
        <w:tc>
          <w:tcPr>
            <w:tcW w:type="dxa" w:w="27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32%</w:t>
            </w:r>
          </w:p>
        </w:tc>
      </w:tr>
      <w:tr>
        <w:trPr>
          <w:cantSplit/>
        </w:trPr>
        <w:tc>
          <w:tcPr>
            <w:tcW w:type="dxa" w:w="38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PARTIALLY_INCORRECT</w:t>
            </w:r>
          </w:p>
        </w:tc>
        <w:tc>
          <w:tcPr>
            <w:tcW w:type="dxa" w:w="27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8</w:t>
            </w:r>
          </w:p>
        </w:tc>
        <w:tc>
          <w:tcPr>
            <w:tcW w:type="dxa" w:w="27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32%</w:t>
            </w:r>
          </w:p>
        </w:tc>
      </w:tr>
      <w:tr>
        <w:trPr>
          <w:cantSplit/>
        </w:trPr>
        <w:tc>
          <w:tcPr>
            <w:tcW w:type="dxa" w:w="38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INCORRECT</w:t>
            </w:r>
          </w:p>
        </w:tc>
        <w:tc>
          <w:tcPr>
            <w:tcW w:type="dxa" w:w="27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9</w:t>
            </w:r>
          </w:p>
        </w:tc>
        <w:tc>
          <w:tcPr>
            <w:tcW w:type="dxa" w:w="278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sz w:val="24"/>
                <w:szCs w:val="24"/>
              </w:rPr>
              <w:t xml:space="preserve">36%</w:t>
            </w:r>
          </w:p>
        </w:tc>
      </w:tr>
      <w:tr>
        <w:trPr>
          <w:cantSplit/>
        </w:trPr>
        <w:tc>
          <w:tcPr>
            <w:tcW w:type="dxa" w:w="3800"/>
            <w:tcBorders>
              <w:top w:val="single" w:color="000000" w:sz="6"/>
              <w:left w:val="none" w:color="FFFFFF" w:sz="0"/>
              <w:bottom w:val="single" w:color="000000" w:sz="12"/>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Total</w:t>
            </w:r>
          </w:p>
        </w:tc>
        <w:tc>
          <w:tcPr>
            <w:tcW w:type="dxa" w:w="2780"/>
            <w:tcBorders>
              <w:top w:val="single" w:color="000000" w:sz="6"/>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25</w:t>
            </w:r>
          </w:p>
        </w:tc>
        <w:tc>
          <w:tcPr>
            <w:tcW w:type="dxa" w:w="2780"/>
            <w:tcBorders>
              <w:top w:val="single" w:color="000000" w:sz="6"/>
              <w:left w:val="none" w:color="FFFFFF" w:sz="0"/>
              <w:bottom w:val="single" w:color="000000" w:sz="12"/>
              <w:right w:val="none" w:color="FFFFFF" w:sz="0"/>
            </w:tcBorders>
            <w:tcMar>
              <w:top w:type="dxa" w:w="70"/>
              <w:left w:type="dxa" w:w="110"/>
              <w:bottom w:type="dxa" w:w="70"/>
              <w:right w:type="dxa" w:w="110"/>
            </w:tcMar>
          </w:tcPr>
          <w:p>
            <w:pPr>
              <w:spacing w:after="0"/>
              <w:jc w:val="center"/>
            </w:pPr>
            <w:r>
              <w:rPr>
                <w:rFonts w:ascii="Times New Roman" w:cs="Times New Roman" w:eastAsia="Times New Roman" w:hAnsi="Times New Roman"/>
                <w:b/>
                <w:bCs/>
                <w:sz w:val="24"/>
                <w:szCs w:val="24"/>
              </w:rPr>
              <w:t xml:space="preserve">100%</w:t>
            </w:r>
          </w:p>
        </w:tc>
      </w:tr>
    </w:tbl>
    <w:p>
      <w:pPr>
        <w:spacing w:after="120"/>
      </w:pPr>
    </w:p>
    <w:p>
      <w:pPr>
        <w:spacing w:after="160" w:line="276"/>
        <w:jc w:val="both"/>
      </w:pPr>
      <w:r>
        <w:rPr>
          <w:rFonts w:ascii="Times New Roman" w:cs="Times New Roman" w:eastAsia="Times New Roman" w:hAnsi="Times New Roman"/>
          <w:sz w:val="24"/>
          <w:szCs w:val="24"/>
        </w:rPr>
        <w:t xml:space="preserve">Eight explanations were classified as correct. Eight were partially incorrect, and nine were incorrect.</w:t>
      </w:r>
    </w:p>
    <w:p>
      <w:pPr>
        <w:spacing w:after="160" w:line="276"/>
        <w:jc w:val="both"/>
      </w:pPr>
      <w:r>
        <w:rPr>
          <w:rFonts w:ascii="Times New Roman" w:cs="Times New Roman" w:eastAsia="Times New Roman" w:hAnsi="Times New Roman"/>
          <w:sz w:val="24"/>
          <w:szCs w:val="24"/>
        </w:rPr>
        <w:t xml:space="preserve">Combining the latter two categories, 17 out of 25 explanations (68%) were classified as partially incorrect or incorrect under the current review criteria.</w:t>
      </w:r>
    </w:p>
    <w:p>
      <w:pPr>
        <w:spacing w:after="160" w:line="276"/>
        <w:jc w:val="both"/>
      </w:pPr>
      <w:r>
        <w:rPr>
          <w:rFonts w:ascii="Times New Roman" w:cs="Times New Roman" w:eastAsia="Times New Roman" w:hAnsi="Times New Roman"/>
          <w:sz w:val="24"/>
          <w:szCs w:val="24"/>
        </w:rPr>
        <w:t xml:space="preserve">This finding highlights the importance of evaluating mathematical explanations separately from final verdicts. A model can produce a correct classification without providing a fully valid proof, and a correct-looking explanation should not be accepted without checking its mathematical details.</w:t>
      </w:r>
    </w:p>
    <w:p>
      <w:pPr>
        <w:spacing w:after="160" w:line="276"/>
        <w:jc w:val="both"/>
      </w:pPr>
      <w:r>
        <w:rPr>
          <w:rFonts w:ascii="Times New Roman" w:cs="Times New Roman" w:eastAsia="Times New Roman" w:hAnsi="Times New Roman"/>
          <w:sz w:val="24"/>
          <w:szCs w:val="24"/>
        </w:rPr>
        <w:t xml:space="preserve">The reasoning-review results are preliminary because the annotations were not independently assessed by multiple reviewers.</w:t>
      </w:r>
    </w:p>
    <w:p>
      <w:pPr>
        <w:pStyle w:val="Heading1"/>
      </w:pPr>
      <w:r>
        <w:t xml:space="preserve">5. Discussion</w:t>
      </w:r>
    </w:p>
    <w:p>
      <w:pPr>
        <w:pStyle w:val="Heading2"/>
      </w:pPr>
      <w:r>
        <w:t xml:space="preserve">5.1 Interpretation of the Main Finding</w:t>
      </w:r>
    </w:p>
    <w:p>
      <w:pPr>
        <w:spacing w:after="160" w:line="276"/>
        <w:jc w:val="both"/>
      </w:pPr>
      <w:r>
        <w:rPr>
          <w:rFonts w:ascii="Times New Roman" w:cs="Times New Roman" w:eastAsia="Times New Roman" w:hAnsi="Times New Roman"/>
          <w:sz w:val="24"/>
          <w:szCs w:val="24"/>
        </w:rPr>
        <w:t xml:space="preserve">The main result is the near-zero Spearman correlation between verbal confidence and verdict correctness.</w:t>
      </w:r>
    </w:p>
    <w:p>
      <w:pPr>
        <w:spacing w:after="160" w:line="276"/>
        <w:jc w:val="both"/>
      </w:pPr>
      <w:r>
        <w:rPr>
          <w:rFonts w:ascii="Times New Roman" w:cs="Times New Roman" w:eastAsia="Times New Roman" w:hAnsi="Times New Roman"/>
          <w:sz w:val="24"/>
          <w:szCs w:val="24"/>
        </w:rPr>
        <w:t xml:space="preserve">The model expressed HIGH confidence in some correct answers, but it also expressed LOW confidence in many cases with correct verdicts. MEDIUM confidence was associated with a lower observed accuracy than either of the other categories. Consequently, the observed confidence labels did not form a clear, increasing pattern of correctness.</w:t>
      </w:r>
    </w:p>
    <w:p>
      <w:pPr>
        <w:spacing w:after="160" w:line="276"/>
        <w:jc w:val="both"/>
      </w:pPr>
      <w:r>
        <w:rPr>
          <w:rFonts w:ascii="Times New Roman" w:cs="Times New Roman" w:eastAsia="Times New Roman" w:hAnsi="Times New Roman"/>
          <w:sz w:val="24"/>
          <w:szCs w:val="24"/>
        </w:rPr>
        <w:t xml:space="preserve">This suggests that verbal confidence, as produced under the current prompting procedure, was not a useful monotonic indicator of verdict correctness in this particular dataset.</w:t>
      </w:r>
    </w:p>
    <w:p>
      <w:pPr>
        <w:spacing w:after="160" w:line="276"/>
        <w:jc w:val="both"/>
      </w:pPr>
      <w:r>
        <w:rPr>
          <w:rFonts w:ascii="Times New Roman" w:cs="Times New Roman" w:eastAsia="Times New Roman" w:hAnsi="Times New Roman"/>
          <w:sz w:val="24"/>
          <w:szCs w:val="24"/>
        </w:rPr>
        <w:t xml:space="preserve">The finding should not be interpreted as proof that verbal confidence is always useless. A different model, task distribution, prompt design, or larger dataset could produce a different result.</w:t>
      </w:r>
    </w:p>
    <w:p>
      <w:pPr>
        <w:pStyle w:val="Heading2"/>
      </w:pPr>
      <w:r>
        <w:t xml:space="preserve">5.2 Why Mathematical Reasoning Requires Separate Evaluation</w:t>
      </w:r>
    </w:p>
    <w:p>
      <w:pPr>
        <w:spacing w:after="160" w:line="276"/>
        <w:jc w:val="both"/>
      </w:pPr>
      <w:r>
        <w:rPr>
          <w:rFonts w:ascii="Times New Roman" w:cs="Times New Roman" w:eastAsia="Times New Roman" w:hAnsi="Times New Roman"/>
          <w:sz w:val="24"/>
          <w:szCs w:val="24"/>
        </w:rPr>
        <w:t xml:space="preserve">The reasoning review revealed a second issue: the validity of an explanation is not guaranteed by the correctness of the final verdict.</w:t>
      </w:r>
    </w:p>
    <w:p>
      <w:pPr>
        <w:spacing w:after="160" w:line="276"/>
        <w:jc w:val="both"/>
      </w:pPr>
      <w:r>
        <w:rPr>
          <w:rFonts w:ascii="Times New Roman" w:cs="Times New Roman" w:eastAsia="Times New Roman" w:hAnsi="Times New Roman"/>
          <w:sz w:val="24"/>
          <w:szCs w:val="24"/>
        </w:rPr>
        <w:t xml:space="preserve">Uniform convergence problems often require careful handling of quantifiers and bounds. For example, a proof may correctly identify that a sequence fails to converge uniformly but give an incorrect location for a maximum. Similarly, an explanation may identify a valid upper bound but draw an incorrect conclusion about whether that bound tends to zero.</w:t>
      </w:r>
    </w:p>
    <w:p>
      <w:pPr>
        <w:spacing w:after="160" w:line="276"/>
        <w:jc w:val="both"/>
      </w:pPr>
      <w:r>
        <w:rPr>
          <w:rFonts w:ascii="Times New Roman" w:cs="Times New Roman" w:eastAsia="Times New Roman" w:hAnsi="Times New Roman"/>
          <w:sz w:val="24"/>
          <w:szCs w:val="24"/>
        </w:rPr>
        <w:t xml:space="preserve">These distinctions matter because mathematical reliability involves more than choosing the correct label. The explanation should establish why the conclusion follows from the mathematical definitions and assumptions.</w:t>
      </w:r>
    </w:p>
    <w:p>
      <w:pPr>
        <w:spacing w:after="160" w:line="276"/>
        <w:jc w:val="both"/>
      </w:pPr>
      <w:r>
        <w:rPr>
          <w:rFonts w:ascii="Times New Roman" w:cs="Times New Roman" w:eastAsia="Times New Roman" w:hAnsi="Times New Roman"/>
          <w:sz w:val="24"/>
          <w:szCs w:val="24"/>
        </w:rPr>
        <w:t xml:space="preserve">The separate reasoning review therefore provides useful complementary information. Nevertheless, the current review labels should be treated as preliminary rather than as independently established measurements of reasoning quality.</w:t>
      </w:r>
    </w:p>
    <w:p>
      <w:pPr>
        <w:pStyle w:val="Heading2"/>
      </w:pPr>
      <w:r>
        <w:t xml:space="preserve">5.3 Implications for Model Evaluation</w:t>
      </w:r>
    </w:p>
    <w:p>
      <w:pPr>
        <w:spacing w:after="160" w:line="276"/>
        <w:jc w:val="both"/>
      </w:pPr>
      <w:r>
        <w:rPr>
          <w:rFonts w:ascii="Times New Roman" w:cs="Times New Roman" w:eastAsia="Times New Roman" w:hAnsi="Times New Roman"/>
          <w:sz w:val="24"/>
          <w:szCs w:val="24"/>
        </w:rPr>
        <w:t xml:space="preserve">The results support three practical observations.</w:t>
      </w:r>
    </w:p>
    <w:p>
      <w:pPr>
        <w:spacing w:after="160" w:line="276"/>
        <w:jc w:val="both"/>
      </w:pPr>
      <w:r>
        <w:rPr>
          <w:rFonts w:ascii="Times New Roman" w:cs="Times New Roman" w:eastAsia="Times New Roman" w:hAnsi="Times New Roman"/>
          <w:sz w:val="24"/>
          <w:szCs w:val="24"/>
        </w:rPr>
        <w:t xml:space="preserve">First, verbal confidence should not be treated as a substitute for checking mathematical correctness. A confident answer may still contain a mathematical error.</w:t>
      </w:r>
    </w:p>
    <w:p>
      <w:pPr>
        <w:spacing w:after="160" w:line="276"/>
        <w:jc w:val="both"/>
      </w:pPr>
      <w:r>
        <w:rPr>
          <w:rFonts w:ascii="Times New Roman" w:cs="Times New Roman" w:eastAsia="Times New Roman" w:hAnsi="Times New Roman"/>
          <w:sz w:val="24"/>
          <w:szCs w:val="24"/>
        </w:rPr>
        <w:t xml:space="preserve">Second, evaluation should distinguish between the final verdict and the explanation supporting it. These measures assess different aspects of model performance.</w:t>
      </w:r>
    </w:p>
    <w:p>
      <w:pPr>
        <w:spacing w:after="160" w:line="276"/>
        <w:jc w:val="both"/>
      </w:pPr>
      <w:r>
        <w:rPr>
          <w:rFonts w:ascii="Times New Roman" w:cs="Times New Roman" w:eastAsia="Times New Roman" w:hAnsi="Times New Roman"/>
          <w:sz w:val="24"/>
          <w:szCs w:val="24"/>
        </w:rPr>
        <w:t xml:space="preserve">Third, confidence should be evaluated empirically against correctness across a sufficiently large and varied set of cases. It should not be assumed to represent a calibrated probability merely because the model uses labels such as HIGH, MEDIUM, or LOW.</w:t>
      </w:r>
    </w:p>
    <w:p>
      <w:pPr>
        <w:spacing w:after="160" w:line="276"/>
        <w:jc w:val="both"/>
      </w:pPr>
      <w:r>
        <w:rPr>
          <w:rFonts w:ascii="Times New Roman" w:cs="Times New Roman" w:eastAsia="Times New Roman" w:hAnsi="Times New Roman"/>
          <w:sz w:val="24"/>
          <w:szCs w:val="24"/>
        </w:rPr>
        <w:t xml:space="preserve">The present study provides a small example of how these dimensions can be measured separately.</w:t>
      </w:r>
    </w:p>
    <w:p>
      <w:pPr>
        <w:pStyle w:val="Heading1"/>
      </w:pPr>
      <w:r>
        <w:t xml:space="preserve">6. Limitations</w:t>
      </w:r>
    </w:p>
    <w:p>
      <w:pPr>
        <w:spacing w:after="160" w:line="276"/>
        <w:jc w:val="both"/>
      </w:pPr>
      <w:r>
        <w:rPr>
          <w:rFonts w:ascii="Times New Roman" w:cs="Times New Roman" w:eastAsia="Times New Roman" w:hAnsi="Times New Roman"/>
          <w:sz w:val="24"/>
          <w:szCs w:val="24"/>
        </w:rPr>
        <w:t xml:space="preserve">Several limitations affect the interpretation and generalizability of this study.</w:t>
      </w:r>
    </w:p>
    <w:p>
      <w:pPr>
        <w:pStyle w:val="Heading2"/>
      </w:pPr>
      <w:r>
        <w:t xml:space="preserve">6.1 Small Sample Size</w:t>
      </w:r>
    </w:p>
    <w:p>
      <w:pPr>
        <w:spacing w:after="160" w:line="276"/>
        <w:jc w:val="both"/>
      </w:pPr>
      <w:r>
        <w:rPr>
          <w:rFonts w:ascii="Times New Roman" w:cs="Times New Roman" w:eastAsia="Times New Roman" w:hAnsi="Times New Roman"/>
          <w:sz w:val="24"/>
          <w:szCs w:val="24"/>
        </w:rPr>
        <w:t xml:space="preserve">The experiment included only 25 cases. Such a small dataset limits the precision of the estimates and makes the subgroup accuracy percentages sensitive to individual examples.</w:t>
      </w:r>
    </w:p>
    <w:p>
      <w:pPr>
        <w:spacing w:after="160" w:line="276"/>
        <w:jc w:val="both"/>
      </w:pPr>
      <w:r>
        <w:rPr>
          <w:rFonts w:ascii="Times New Roman" w:cs="Times New Roman" w:eastAsia="Times New Roman" w:hAnsi="Times New Roman"/>
          <w:sz w:val="24"/>
          <w:szCs w:val="24"/>
        </w:rPr>
        <w:t xml:space="preserve">The results should therefore be considered exploratory.</w:t>
      </w:r>
    </w:p>
    <w:p>
      <w:pPr>
        <w:pStyle w:val="Heading2"/>
      </w:pPr>
      <w:r>
        <w:t xml:space="preserve">6.2 Selected Mathematical Cases</w:t>
      </w:r>
    </w:p>
    <w:p>
      <w:pPr>
        <w:spacing w:after="160" w:line="276"/>
        <w:jc w:val="both"/>
      </w:pPr>
      <w:r>
        <w:rPr>
          <w:rFonts w:ascii="Times New Roman" w:cs="Times New Roman" w:eastAsia="Times New Roman" w:hAnsi="Times New Roman"/>
          <w:sz w:val="24"/>
          <w:szCs w:val="24"/>
        </w:rPr>
        <w:t xml:space="preserve">The cases were selected for the evaluation rather than sampled randomly from a defined population of mathematical problems. The dataset may not represent the full range of difficulty, topics, proof styles, or mathematical domains encountered in practice.</w:t>
      </w:r>
    </w:p>
    <w:p>
      <w:pPr>
        <w:pStyle w:val="Heading2"/>
      </w:pPr>
      <w:r>
        <w:t xml:space="preserve">6.3 Single Model</w:t>
      </w:r>
    </w:p>
    <w:p>
      <w:pPr>
        <w:spacing w:after="160" w:line="276"/>
        <w:jc w:val="both"/>
      </w:pPr>
      <w:r>
        <w:rPr>
          <w:rFonts w:ascii="Times New Roman" w:cs="Times New Roman" w:eastAsia="Times New Roman" w:hAnsi="Times New Roman"/>
          <w:sz w:val="24"/>
          <w:szCs w:val="24"/>
        </w:rPr>
        <w:t xml:space="preserve">Only Qwen3-1.7B was evaluated. The findings cannot be generalized to all language models, larger models, or different model versions.</w:t>
      </w:r>
    </w:p>
    <w:p>
      <w:pPr>
        <w:pStyle w:val="Heading2"/>
      </w:pPr>
      <w:r>
        <w:t xml:space="preserve">6.4 Prompt Consistency</w:t>
      </w:r>
    </w:p>
    <w:p>
      <w:pPr>
        <w:spacing w:after="160" w:line="276"/>
        <w:jc w:val="both"/>
      </w:pPr>
      <w:r>
        <w:rPr>
          <w:rFonts w:ascii="Times New Roman" w:cs="Times New Roman" w:eastAsia="Times New Roman" w:hAnsi="Times New Roman"/>
          <w:sz w:val="24"/>
          <w:szCs w:val="24"/>
        </w:rPr>
        <w:t xml:space="preserve">A standardized follow-up instruction was appended to the original prompts, but the original prompts were retained. Differences in their wording and embedded instructions may have influenced the model’s responses.</w:t>
      </w:r>
    </w:p>
    <w:p>
      <w:pPr>
        <w:spacing w:after="160" w:line="276"/>
        <w:jc w:val="both"/>
      </w:pPr>
      <w:r>
        <w:rPr>
          <w:rFonts w:ascii="Times New Roman" w:cs="Times New Roman" w:eastAsia="Times New Roman" w:hAnsi="Times New Roman"/>
          <w:sz w:val="24"/>
          <w:szCs w:val="24"/>
        </w:rPr>
        <w:t xml:space="preserve">Therefore, the experiment does not completely isolate the effect of a single standardized prompt.</w:t>
      </w:r>
    </w:p>
    <w:p>
      <w:pPr>
        <w:pStyle w:val="Heading2"/>
      </w:pPr>
      <w:r>
        <w:t xml:space="preserve">6.5 Ordinal Confidence Labels</w:t>
      </w:r>
    </w:p>
    <w:p>
      <w:pPr>
        <w:spacing w:after="160" w:line="276"/>
        <w:jc w:val="both"/>
      </w:pPr>
      <w:r>
        <w:rPr>
          <w:rFonts w:ascii="Times New Roman" w:cs="Times New Roman" w:eastAsia="Times New Roman" w:hAnsi="Times New Roman"/>
          <w:sz w:val="24"/>
          <w:szCs w:val="24"/>
        </w:rPr>
        <w:t xml:space="preserve">The confidence labels were categorical and ordinal, not numerical probabilities. Assigning the scores LOW = 1, MEDIUM = 2, and HIGH = 3 allows a rank-based analysis, but it does not establish that the categories correspond to equal probability intervals.</w:t>
      </w:r>
    </w:p>
    <w:p>
      <w:pPr>
        <w:spacing w:after="160" w:line="276"/>
        <w:jc w:val="both"/>
      </w:pPr>
      <w:r>
        <w:rPr>
          <w:rFonts w:ascii="Times New Roman" w:cs="Times New Roman" w:eastAsia="Times New Roman" w:hAnsi="Times New Roman"/>
          <w:sz w:val="24"/>
          <w:szCs w:val="24"/>
        </w:rPr>
        <w:t xml:space="preserve">The analysis also does not measure probability calibration.</w:t>
      </w:r>
    </w:p>
    <w:p>
      <w:pPr>
        <w:pStyle w:val="Heading2"/>
      </w:pPr>
      <w:r>
        <w:t xml:space="preserve">6.6 Preliminary Reasoning Annotations</w:t>
      </w:r>
    </w:p>
    <w:p>
      <w:pPr>
        <w:spacing w:after="160" w:line="276"/>
        <w:jc w:val="both"/>
      </w:pPr>
      <w:r>
        <w:rPr>
          <w:rFonts w:ascii="Times New Roman" w:cs="Times New Roman" w:eastAsia="Times New Roman" w:hAnsi="Times New Roman"/>
          <w:sz w:val="24"/>
          <w:szCs w:val="24"/>
        </w:rPr>
        <w:t xml:space="preserve">The explanations were classified using a preliminary review process without independent assessment by multiple reviewers. The label distribution may therefore be affected by reviewer judgment.</w:t>
      </w:r>
    </w:p>
    <w:p>
      <w:pPr>
        <w:spacing w:after="160" w:line="276"/>
        <w:jc w:val="both"/>
      </w:pPr>
      <w:r>
        <w:rPr>
          <w:rFonts w:ascii="Times New Roman" w:cs="Times New Roman" w:eastAsia="Times New Roman" w:hAnsi="Times New Roman"/>
          <w:sz w:val="24"/>
          <w:szCs w:val="24"/>
        </w:rPr>
        <w:t xml:space="preserve">A stronger study would use explicit annotation guidelines, independent reviewers, and a procedure for resolving disagreements.</w:t>
      </w:r>
    </w:p>
    <w:p>
      <w:pPr>
        <w:pStyle w:val="Heading2"/>
      </w:pPr>
      <w:r>
        <w:t xml:space="preserve">6.7 Reference Verdicts</w:t>
      </w:r>
    </w:p>
    <w:p>
      <w:pPr>
        <w:spacing w:after="160" w:line="276"/>
        <w:jc w:val="both"/>
      </w:pPr>
      <w:r>
        <w:rPr>
          <w:rFonts w:ascii="Times New Roman" w:cs="Times New Roman" w:eastAsia="Times New Roman" w:hAnsi="Times New Roman"/>
          <w:sz w:val="24"/>
          <w:szCs w:val="24"/>
        </w:rPr>
        <w:t xml:space="preserve">Verdict accuracy depends on the correctness of the reference labels. The current analysis compares the model’s answers against those labels, but the results alone do not establish that every reference verdict has been independently verified.</w:t>
      </w:r>
    </w:p>
    <w:p>
      <w:pPr>
        <w:pStyle w:val="Heading2"/>
      </w:pPr>
      <w:r>
        <w:t xml:space="preserve">6.8 Statistical Interpretation</w:t>
      </w:r>
    </w:p>
    <w:p>
      <w:pPr>
        <w:spacing w:after="160" w:line="276"/>
        <w:jc w:val="both"/>
      </w:pPr>
      <w:r>
        <w:rPr>
          <w:rFonts w:ascii="Times New Roman" w:cs="Times New Roman" w:eastAsia="Times New Roman" w:hAnsi="Times New Roman"/>
          <w:sz w:val="24"/>
          <w:szCs w:val="24"/>
        </w:rPr>
        <w:t xml:space="preserve">The non-significant p-value does not establish that the population association is exactly zero. With a small sample, an analysis may fail to detect a relationship that exists in a broader population.</w:t>
      </w:r>
    </w:p>
    <w:p>
      <w:pPr>
        <w:spacing w:after="160" w:line="276"/>
        <w:jc w:val="both"/>
      </w:pPr>
      <w:r>
        <w:rPr>
          <w:rFonts w:ascii="Times New Roman" w:cs="Times New Roman" w:eastAsia="Times New Roman" w:hAnsi="Times New Roman"/>
          <w:sz w:val="24"/>
          <w:szCs w:val="24"/>
        </w:rPr>
        <w:t xml:space="preserve">The conclusion should therefore remain limited to the evidence obtained in this experiment.</w:t>
      </w:r>
    </w:p>
    <w:p>
      <w:pPr>
        <w:pStyle w:val="Heading1"/>
      </w:pPr>
      <w:r>
        <w:t xml:space="preserve">7. Conclusion</w:t>
      </w:r>
    </w:p>
    <w:p>
      <w:pPr>
        <w:spacing w:after="160" w:line="276"/>
        <w:jc w:val="both"/>
      </w:pPr>
      <w:r>
        <w:rPr>
          <w:rFonts w:ascii="Times New Roman" w:cs="Times New Roman" w:eastAsia="Times New Roman" w:hAnsi="Times New Roman"/>
          <w:sz w:val="24"/>
          <w:szCs w:val="24"/>
        </w:rPr>
        <w:t xml:space="preserve">This study investigated whether verbal confidence was associated with mathematical verdict correctness in Qwen3-1.7B using 25 selected cases involving uniform convergence.</w:t>
      </w:r>
    </w:p>
    <w:p>
      <w:pPr>
        <w:spacing w:after="160" w:line="276"/>
        <w:jc w:val="both"/>
      </w:pPr>
      <w:r>
        <w:rPr>
          <w:rFonts w:ascii="Times New Roman" w:cs="Times New Roman" w:eastAsia="Times New Roman" w:hAnsi="Times New Roman"/>
          <w:sz w:val="24"/>
          <w:szCs w:val="24"/>
        </w:rPr>
        <w:t xml:space="preserve">The model achieved 64% verdict accuracy, correctly classifying 16 of the 25 cases. The Spearman correlation between ordinal verbal confidence and verdict correctness was 0.0281, with a p-value of 0.8940. These results indicate that the experiment found no statistically significant monotonic association between confidence and correctness.</w:t>
      </w:r>
    </w:p>
    <w:p>
      <w:pPr>
        <w:spacing w:after="160" w:line="276"/>
        <w:jc w:val="both"/>
      </w:pPr>
      <w:r>
        <w:rPr>
          <w:rFonts w:ascii="Times New Roman" w:cs="Times New Roman" w:eastAsia="Times New Roman" w:hAnsi="Times New Roman"/>
          <w:sz w:val="24"/>
          <w:szCs w:val="24"/>
        </w:rPr>
        <w:t xml:space="preserve">A separate preliminary review classified 8 explanations as correct, 8 as partially incorrect, and 9 as incorrect. This reinforces the importance of distinguishing the correctness of a final verdict from the mathematical validity of the explanation supporting it.</w:t>
      </w:r>
    </w:p>
    <w:p>
      <w:pPr>
        <w:spacing w:after="160" w:line="276"/>
        <w:jc w:val="both"/>
      </w:pPr>
      <w:r>
        <w:rPr>
          <w:rFonts w:ascii="Times New Roman" w:cs="Times New Roman" w:eastAsia="Times New Roman" w:hAnsi="Times New Roman"/>
          <w:sz w:val="24"/>
          <w:szCs w:val="24"/>
        </w:rPr>
        <w:t xml:space="preserve">The main conclusion is that, in this small evaluation, verbal confidence did not meaningfully track mathematical verdict correctness. The finding does not establish that no relationship exists in other settings, and it should not be generalized beyond the evaluated model, prompts, and dataset.</w:t>
      </w:r>
    </w:p>
    <w:p>
      <w:pPr>
        <w:spacing w:after="160" w:line="276"/>
        <w:jc w:val="both"/>
      </w:pPr>
      <w:r>
        <w:rPr>
          <w:rFonts w:ascii="Times New Roman" w:cs="Times New Roman" w:eastAsia="Times New Roman" w:hAnsi="Times New Roman"/>
          <w:sz w:val="24"/>
          <w:szCs w:val="24"/>
        </w:rPr>
        <w:t xml:space="preserve">Future research could investigate larger datasets, more diverse mathematical topics, multiple language models, more strictly standardized prompts, and independent reasoning annotations. It could also compare verbal confidence with numerical confidence estimates and evaluate whether either approach provides a more reliable indication of mathematical correctness.</w:t>
      </w:r>
    </w:p>
    <w:p>
      <w:pPr>
        <w:pStyle w:val="Heading1"/>
        <w:pageBreakBefore/>
      </w:pPr>
      <w:r>
        <w:t xml:space="preserve">References</w:t>
      </w:r>
    </w:p>
    <w:p>
      <w:pPr>
        <w:spacing w:after="140" w:line="276"/>
        <w:ind w:left="720" w:hanging="720"/>
        <w:jc w:val="left"/>
      </w:pPr>
      <w:r>
        <w:rPr>
          <w:rFonts w:ascii="Times New Roman" w:cs="Times New Roman" w:eastAsia="Times New Roman" w:hAnsi="Times New Roman"/>
          <w:sz w:val="24"/>
          <w:szCs w:val="24"/>
        </w:rPr>
        <w:t xml:space="preserve">Qwen Team. (2025). </w:t>
      </w:r>
      <w:r>
        <w:rPr>
          <w:rFonts w:ascii="Times New Roman" w:cs="Times New Roman" w:eastAsia="Times New Roman" w:hAnsi="Times New Roman"/>
          <w:i/>
          <w:iCs/>
          <w:sz w:val="24"/>
          <w:szCs w:val="24"/>
        </w:rPr>
        <w:t xml:space="preserve">Qwen3 technical report</w:t>
      </w:r>
      <w:r>
        <w:rPr>
          <w:rFonts w:ascii="Times New Roman" w:cs="Times New Roman" w:eastAsia="Times New Roman" w:hAnsi="Times New Roman"/>
          <w:sz w:val="24"/>
          <w:szCs w:val="24"/>
        </w:rPr>
        <w:t xml:space="preserve">. arXiv:2505.09388. https://arxiv.org/abs/2505.09388</w:t>
      </w:r>
    </w:p>
    <w:p>
      <w:pPr>
        <w:spacing w:after="140" w:line="276"/>
        <w:ind w:left="720" w:hanging="720"/>
        <w:jc w:val="left"/>
      </w:pPr>
      <w:r>
        <w:rPr>
          <w:rFonts w:ascii="Times New Roman" w:cs="Times New Roman" w:eastAsia="Times New Roman" w:hAnsi="Times New Roman"/>
          <w:sz w:val="24"/>
          <w:szCs w:val="24"/>
        </w:rPr>
        <w:t xml:space="preserve">Rudin, W. (1976). </w:t>
      </w:r>
      <w:r>
        <w:rPr>
          <w:rFonts w:ascii="Times New Roman" w:cs="Times New Roman" w:eastAsia="Times New Roman" w:hAnsi="Times New Roman"/>
          <w:i/>
          <w:iCs/>
          <w:sz w:val="24"/>
          <w:szCs w:val="24"/>
        </w:rPr>
        <w:t xml:space="preserve">Principles of mathematical analysis</w:t>
      </w:r>
      <w:r>
        <w:rPr>
          <w:rFonts w:ascii="Times New Roman" w:cs="Times New Roman" w:eastAsia="Times New Roman" w:hAnsi="Times New Roman"/>
          <w:sz w:val="24"/>
          <w:szCs w:val="24"/>
        </w:rPr>
        <w:t xml:space="preserve"> (3rd ed.). McGraw-Hill.</w:t>
      </w:r>
    </w:p>
    <w:p>
      <w:pPr>
        <w:spacing w:after="140" w:line="276"/>
        <w:ind w:left="720" w:hanging="720"/>
        <w:jc w:val="left"/>
      </w:pPr>
      <w:r>
        <w:rPr>
          <w:rFonts w:ascii="Times New Roman" w:cs="Times New Roman" w:eastAsia="Times New Roman" w:hAnsi="Times New Roman"/>
          <w:sz w:val="24"/>
          <w:szCs w:val="24"/>
        </w:rPr>
        <w:t xml:space="preserve">Spearman, C. (1904). The proof and measurement of association between two things. </w:t>
      </w:r>
      <w:r>
        <w:rPr>
          <w:rFonts w:ascii="Times New Roman" w:cs="Times New Roman" w:eastAsia="Times New Roman" w:hAnsi="Times New Roman"/>
          <w:i/>
          <w:iCs/>
          <w:sz w:val="24"/>
          <w:szCs w:val="24"/>
        </w:rPr>
        <w:t xml:space="preserve">The American Journal of Psychology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(1), 72–101. https://doi.org/10.2307/1412159</w:t>
      </w:r>
    </w:p>
    <w:p>
      <w:pPr>
        <w:pStyle w:val="Heading1"/>
        <w:pageBreakBefore/>
      </w:pPr>
      <w:r>
        <w:t xml:space="preserve">Appendix A. Experimental Configuration</w:t>
      </w:r>
    </w:p>
    <w:p>
      <w:pPr>
        <w:keepNext/>
        <w:spacing w:after="160" w:line="276"/>
        <w:jc w:val="both"/>
      </w:pPr>
      <w:r>
        <w:rPr>
          <w:rFonts w:ascii="Times New Roman" w:cs="Times New Roman" w:eastAsia="Times New Roman" w:hAnsi="Times New Roman"/>
          <w:sz w:val="24"/>
          <w:szCs w:val="24"/>
        </w:rPr>
        <w:t xml:space="preserve">Table A1 lists the experimental settings used in the evaluation.</w:t>
      </w:r>
    </w:p>
    <w:p>
      <w:pPr>
        <w:keepNext/>
        <w:spacing w:after="100" w:before="200"/>
        <w:jc w:val="left"/>
      </w:pPr>
      <w:r>
        <w:rPr>
          <w:rFonts w:ascii="Times New Roman" w:cs="Times New Roman" w:eastAsia="Times New Roman" w:hAnsi="Times New Roman"/>
          <w:b/>
          <w:bCs/>
          <w:sz w:val="22"/>
          <w:szCs w:val="22"/>
        </w:rPr>
        <w:t xml:space="preserve">Table A1. </w:t>
      </w:r>
      <w:r>
        <w:rPr>
          <w:rFonts w:ascii="Times New Roman" w:cs="Times New Roman" w:eastAsia="Times New Roman" w:hAnsi="Times New Roman"/>
          <w:i/>
          <w:iCs/>
          <w:sz w:val="22"/>
          <w:szCs w:val="22"/>
        </w:rPr>
        <w:t xml:space="preserve">Experimental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Parameter</w:t>
            </w:r>
          </w:p>
        </w:tc>
        <w:tc>
          <w:tcPr>
            <w:tcW w:type="dxa" w:w="5760"/>
            <w:tcBorders>
              <w:top w:val="single" w:color="000000" w:sz="12"/>
              <w:left w:val="none" w:color="FFFFFF" w:sz="0"/>
              <w:bottom w:val="single" w:color="000000" w:sz="6"/>
              <w:right w:val="none" w:color="FFFFFF" w:sz="0"/>
            </w:tcBorders>
            <w:shd w:fill="F2F2F2" w:color="auto" w:val="clear"/>
            <w:tcMar>
              <w:top w:type="dxa" w:w="70"/>
              <w:left w:type="dxa" w:w="110"/>
              <w:bottom w:type="dxa" w:w="70"/>
              <w:right w:type="dxa" w:w="110"/>
            </w:tcMar>
          </w:tcPr>
          <w:p>
            <w:pPr>
              <w:spacing w:after="0"/>
              <w:jc w:val="left"/>
            </w:pPr>
            <w:r>
              <w:rPr>
                <w:rFonts w:ascii="Times New Roman" w:cs="Times New Roman" w:eastAsia="Times New Roman" w:hAnsi="Times New Roman"/>
                <w:b/>
                <w:bCs/>
                <w:sz w:val="24"/>
                <w:szCs w:val="24"/>
              </w:rPr>
              <w:t xml:space="preserve">Setting</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Model</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Courier New" w:cs="Courier New" w:eastAsia="Courier New" w:hAnsi="Courier New"/>
                <w:sz w:val="21"/>
                <w:szCs w:val="21"/>
              </w:rPr>
              <w:t xml:space="preserve">Qwen/Qwen3-1.7B</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Number of cases</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25</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Thinking mode</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Disabled</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Sampling</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Courier New" w:cs="Courier New" w:eastAsia="Courier New" w:hAnsi="Courier New"/>
                <w:sz w:val="21"/>
                <w:szCs w:val="21"/>
              </w:rPr>
              <w:t xml:space="preserve">do_sample=False</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Maximum new tokens</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300</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Prompt approach</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Standardized follow-up appended to original prompts</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Verdict labels</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CORRECT / INCORRECT</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Confidence labels</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HIGH / MEDIUM / LOW</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Correctness encoding for correlation</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Correct = 1; incorrect = 0</w:t>
            </w:r>
          </w:p>
        </w:tc>
      </w:tr>
      <w:tr>
        <w:trPr>
          <w:cantSplit/>
        </w:trPr>
        <w:tc>
          <w:tcPr>
            <w:tcW w:type="dxa" w:w="360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Confidence encoding for correlation</w:t>
            </w:r>
          </w:p>
        </w:tc>
        <w:tc>
          <w:tcPr>
            <w:tcW w:type="dxa" w:w="5760"/>
            <w:tcBorders>
              <w:top w:val="none" w:color="FFFFFF" w:sz="0"/>
              <w:left w:val="none" w:color="FFFFFF" w:sz="0"/>
              <w:bottom w:val="none" w:color="FFFFFF" w:sz="0"/>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LOW = 1; MEDIUM = 2; HIGH = 3</w:t>
            </w:r>
          </w:p>
        </w:tc>
      </w:tr>
      <w:tr>
        <w:trPr>
          <w:cantSplit/>
        </w:trPr>
        <w:tc>
          <w:tcPr>
            <w:tcW w:type="dxa" w:w="3600"/>
            <w:tcBorders>
              <w:top w:val="none" w:color="FFFFFF" w:sz="0"/>
              <w:left w:val="none" w:color="FFFFFF" w:sz="0"/>
              <w:bottom w:val="single" w:color="000000" w:sz="12"/>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Main association test</w:t>
            </w:r>
          </w:p>
        </w:tc>
        <w:tc>
          <w:tcPr>
            <w:tcW w:type="dxa" w:w="5760"/>
            <w:tcBorders>
              <w:top w:val="none" w:color="FFFFFF" w:sz="0"/>
              <w:left w:val="none" w:color="FFFFFF" w:sz="0"/>
              <w:bottom w:val="single" w:color="000000" w:sz="12"/>
              <w:right w:val="none" w:color="FFFFFF" w:sz="0"/>
            </w:tcBorders>
            <w:tcMar>
              <w:top w:type="dxa" w:w="70"/>
              <w:left w:type="dxa" w:w="110"/>
              <w:bottom w:type="dxa" w:w="70"/>
              <w:right w:type="dxa" w:w="110"/>
            </w:tcMar>
          </w:tcPr>
          <w:p>
            <w:pPr>
              <w:spacing w:after="0"/>
              <w:jc w:val="left"/>
            </w:pPr>
            <w:r>
              <w:rPr>
                <w:rFonts w:ascii="Times New Roman" w:cs="Times New Roman" w:eastAsia="Times New Roman" w:hAnsi="Times New Roman"/>
                <w:sz w:val="24"/>
                <w:szCs w:val="24"/>
              </w:rPr>
              <w:t xml:space="preserve">Spearman’s rank correlation</w:t>
            </w:r>
          </w:p>
        </w:tc>
      </w:tr>
    </w:tbl>
    <w:p>
      <w:pPr>
        <w:spacing w:after="120"/>
      </w:pPr>
    </w:p>
    <w:p>
      <w:pPr>
        <w:pStyle w:val="Heading1"/>
      </w:pPr>
      <w:r>
        <w:t xml:space="preserve">Appendix B. Summary of Main Findings</w:t>
      </w:r>
    </w:p>
    <w:p>
      <w:pPr>
        <w:pStyle w:val="ListParagraph"/>
        <w:numPr>
          <w:ilvl w:val="0"/>
          <w:numId w:val="5"/>
        </w:numPr>
        <w:spacing w:after="80" w:line="276"/>
        <w:jc w:val="left"/>
      </w:pPr>
      <w:r>
        <w:rPr>
          <w:rFonts w:ascii="Times New Roman" w:cs="Times New Roman" w:eastAsia="Times New Roman" w:hAnsi="Times New Roman"/>
          <w:sz w:val="24"/>
          <w:szCs w:val="24"/>
        </w:rPr>
        <w:t xml:space="preserve">Verdict accuracy was 64% (16 out of 25 cases).</w:t>
      </w:r>
    </w:p>
    <w:p>
      <w:pPr>
        <w:pStyle w:val="ListParagraph"/>
        <w:numPr>
          <w:ilvl w:val="0"/>
          <w:numId w:val="5"/>
        </w:numPr>
        <w:spacing w:after="80" w:line="276"/>
        <w:jc w:val="left"/>
      </w:pPr>
      <w:r>
        <w:rPr>
          <w:rFonts w:ascii="Times New Roman" w:cs="Times New Roman" w:eastAsia="Times New Roman" w:hAnsi="Times New Roman"/>
          <w:sz w:val="24"/>
          <w:szCs w:val="24"/>
        </w:rPr>
        <w:t xml:space="preserve">HIGH-confidence accuracy was 80.0% (4 out of 5 cases).</w:t>
      </w:r>
    </w:p>
    <w:p>
      <w:pPr>
        <w:pStyle w:val="ListParagraph"/>
        <w:numPr>
          <w:ilvl w:val="0"/>
          <w:numId w:val="5"/>
        </w:numPr>
        <w:spacing w:after="80" w:line="276"/>
        <w:jc w:val="left"/>
      </w:pPr>
      <w:r>
        <w:rPr>
          <w:rFonts w:ascii="Times New Roman" w:cs="Times New Roman" w:eastAsia="Times New Roman" w:hAnsi="Times New Roman"/>
          <w:sz w:val="24"/>
          <w:szCs w:val="24"/>
        </w:rPr>
        <w:t xml:space="preserve">MEDIUM-confidence accuracy was 33.3% (1 out of 3 cases).</w:t>
      </w:r>
    </w:p>
    <w:p>
      <w:pPr>
        <w:pStyle w:val="ListParagraph"/>
        <w:numPr>
          <w:ilvl w:val="0"/>
          <w:numId w:val="5"/>
        </w:numPr>
        <w:spacing w:after="80" w:line="276"/>
        <w:jc w:val="left"/>
      </w:pPr>
      <w:r>
        <w:rPr>
          <w:rFonts w:ascii="Times New Roman" w:cs="Times New Roman" w:eastAsia="Times New Roman" w:hAnsi="Times New Roman"/>
          <w:sz w:val="24"/>
          <w:szCs w:val="24"/>
        </w:rPr>
        <w:t xml:space="preserve">LOW-confidence accuracy was 64.7% (11 out of 17 cases).</w:t>
      </w:r>
    </w:p>
    <w:p>
      <w:pPr>
        <w:pStyle w:val="ListParagraph"/>
        <w:numPr>
          <w:ilvl w:val="0"/>
          <w:numId w:val="5"/>
        </w:numPr>
        <w:spacing w:after="80" w:line="276"/>
        <w:jc w:val="left"/>
      </w:pPr>
      <w:r>
        <w:rPr>
          <w:rFonts w:ascii="Times New Roman" w:cs="Times New Roman" w:eastAsia="Times New Roman" w:hAnsi="Times New Roman"/>
          <w:sz w:val="24"/>
          <w:szCs w:val="24"/>
        </w:rPr>
        <w:t xml:space="preserve">Spearman’s rank correlation was 0.0281, with a p-value of 0.8940.</w:t>
      </w:r>
    </w:p>
    <w:p>
      <w:pPr>
        <w:pStyle w:val="ListParagraph"/>
        <w:numPr>
          <w:ilvl w:val="0"/>
          <w:numId w:val="5"/>
        </w:numPr>
        <w:spacing w:after="80" w:line="276"/>
        <w:jc w:val="left"/>
      </w:pPr>
      <w:r>
        <w:rPr>
          <w:rFonts w:ascii="Times New Roman" w:cs="Times New Roman" w:eastAsia="Times New Roman" w:hAnsi="Times New Roman"/>
          <w:sz w:val="24"/>
          <w:szCs w:val="24"/>
        </w:rPr>
        <w:t xml:space="preserve">The preliminary reasoning review classified 8 explanations as CORRECT, 8 as PARTIALLY_INCORRECT, and 9 as INCORRECT.</w:t>
      </w:r>
    </w:p>
    <w:p>
      <w:pPr>
        <w:pStyle w:val="ListParagraph"/>
        <w:numPr>
          <w:ilvl w:val="0"/>
          <w:numId w:val="5"/>
        </w:numPr>
        <w:spacing w:after="80" w:line="276"/>
        <w:jc w:val="left"/>
      </w:pPr>
      <w:r>
        <w:rPr>
          <w:rFonts w:ascii="Times New Roman" w:cs="Times New Roman" w:eastAsia="Times New Roman" w:hAnsi="Times New Roman"/>
          <w:sz w:val="24"/>
          <w:szCs w:val="24"/>
        </w:rPr>
        <w:t xml:space="preserve">The findings are exploratory and limited by the small, selected dataset, the single-model design, prompt inconsistencies, and the preliminary reasoning annotations.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20"/>
        <w:szCs w:val="20"/>
      </w:rPr>
      <w:t xml:space="preserve">Verbal Confidence and Mathematical Correctness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Verbal Confidence Track Mathematical Correctness?</dc:title>
  <dc:creator>Anas Shams</dc:creator>
  <cp:lastModifiedBy>Un-named</cp:lastModifiedBy>
  <cp:revision>1</cp:revision>
  <dcterms:created xsi:type="dcterms:W3CDTF">2026-10-17T17:48:58.994Z</dcterms:created>
  <dcterms:modified xsi:type="dcterms:W3CDTF">2026-10-17T17:48:58.995Z</dcterms:modified>
</cp:coreProperties>
</file>

<file path=docProps/custom.xml><?xml version="1.0" encoding="utf-8"?>
<Properties xmlns="http://schemas.openxmlformats.org/officeDocument/2006/custom-properties" xmlns:vt="http://schemas.openxmlformats.org/officeDocument/2006/docPropsVTypes"/>
</file>