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BB31" w14:textId="77777777" w:rsidR="006031D8" w:rsidRDefault="00000000">
      <w:pPr>
        <w:spacing w:after="60"/>
      </w:pPr>
      <w:r>
        <w:rPr>
          <w:b/>
          <w:bCs/>
          <w:color w:val="1F3864"/>
          <w:sz w:val="40"/>
          <w:szCs w:val="40"/>
        </w:rPr>
        <w:t>BMP &amp; Co. LLP: Statutory Compliance System</w:t>
      </w:r>
    </w:p>
    <w:p w14:paraId="5E450630" w14:textId="77777777" w:rsidR="006031D8" w:rsidRDefault="00000000">
      <w:pPr>
        <w:spacing w:after="300"/>
      </w:pPr>
      <w:r>
        <w:rPr>
          <w:color w:val="595959"/>
          <w:sz w:val="28"/>
          <w:szCs w:val="28"/>
        </w:rPr>
        <w:t>Project Requirements Document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6494"/>
      </w:tblGrid>
      <w:tr w:rsidR="006031D8" w14:paraId="39F8673A" w14:textId="77777777">
        <w:tblPrEx>
          <w:tblCellMar>
            <w:top w:w="0" w:type="dxa"/>
            <w:bottom w:w="0" w:type="dxa"/>
          </w:tblCellMar>
        </w:tblPrEx>
        <w:tc>
          <w:tcPr>
            <w:tcW w:w="1400" w:type="pct"/>
            <w:tcBorders>
              <w:top w:val="single" w:sz="2" w:space="0" w:color="BFBFBF"/>
              <w:left w:val="single" w:sz="2" w:space="0" w:color="BFBFBF"/>
              <w:bottom w:val="single" w:sz="2" w:space="0" w:color="BFBFBF"/>
              <w:right w:val="single" w:sz="2" w:space="0" w:color="BFBFBF"/>
            </w:tcBorders>
            <w:shd w:val="clear" w:color="auto" w:fill="E7E6E6"/>
            <w:tcMar>
              <w:top w:w="80" w:type="dxa"/>
              <w:left w:w="120" w:type="dxa"/>
              <w:bottom w:w="80" w:type="dxa"/>
              <w:right w:w="120" w:type="dxa"/>
            </w:tcMar>
          </w:tcPr>
          <w:p w14:paraId="190B52E8" w14:textId="77777777" w:rsidR="006031D8" w:rsidRDefault="00000000">
            <w:r>
              <w:rPr>
                <w:b/>
                <w:bCs/>
                <w:color w:val="1F3864"/>
                <w:sz w:val="21"/>
                <w:szCs w:val="21"/>
              </w:rPr>
              <w:t>Prepared for</w:t>
            </w:r>
          </w:p>
        </w:tc>
        <w:tc>
          <w:tcPr>
            <w:tcW w:w="36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62783E3C" w14:textId="77777777" w:rsidR="006031D8" w:rsidRDefault="00000000">
            <w:r>
              <w:rPr>
                <w:sz w:val="21"/>
                <w:szCs w:val="21"/>
              </w:rPr>
              <w:t>BMP &amp; Co. LLP</w:t>
            </w:r>
          </w:p>
        </w:tc>
      </w:tr>
      <w:tr w:rsidR="006031D8" w14:paraId="78AF81BC" w14:textId="77777777">
        <w:tblPrEx>
          <w:tblCellMar>
            <w:top w:w="0" w:type="dxa"/>
            <w:bottom w:w="0" w:type="dxa"/>
          </w:tblCellMar>
        </w:tblPrEx>
        <w:tc>
          <w:tcPr>
            <w:tcW w:w="1400" w:type="pct"/>
            <w:tcBorders>
              <w:top w:val="single" w:sz="2" w:space="0" w:color="BFBFBF"/>
              <w:left w:val="single" w:sz="2" w:space="0" w:color="BFBFBF"/>
              <w:bottom w:val="single" w:sz="2" w:space="0" w:color="BFBFBF"/>
              <w:right w:val="single" w:sz="2" w:space="0" w:color="BFBFBF"/>
            </w:tcBorders>
            <w:shd w:val="clear" w:color="auto" w:fill="E7E6E6"/>
            <w:tcMar>
              <w:top w:w="80" w:type="dxa"/>
              <w:left w:w="120" w:type="dxa"/>
              <w:bottom w:w="80" w:type="dxa"/>
              <w:right w:w="120" w:type="dxa"/>
            </w:tcMar>
          </w:tcPr>
          <w:p w14:paraId="099CF756" w14:textId="77777777" w:rsidR="006031D8" w:rsidRDefault="00000000">
            <w:r>
              <w:rPr>
                <w:b/>
                <w:bCs/>
                <w:color w:val="1F3864"/>
                <w:sz w:val="21"/>
                <w:szCs w:val="21"/>
              </w:rPr>
              <w:t>Prepared by</w:t>
            </w:r>
          </w:p>
        </w:tc>
        <w:tc>
          <w:tcPr>
            <w:tcW w:w="36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65C95ADB" w14:textId="77777777" w:rsidR="006031D8" w:rsidRDefault="00000000">
            <w:r>
              <w:rPr>
                <w:sz w:val="21"/>
                <w:szCs w:val="21"/>
              </w:rPr>
              <w:t>CanopusGBS</w:t>
            </w:r>
          </w:p>
        </w:tc>
      </w:tr>
      <w:tr w:rsidR="006031D8" w14:paraId="353A90CF" w14:textId="77777777">
        <w:tblPrEx>
          <w:tblCellMar>
            <w:top w:w="0" w:type="dxa"/>
            <w:bottom w:w="0" w:type="dxa"/>
          </w:tblCellMar>
        </w:tblPrEx>
        <w:tc>
          <w:tcPr>
            <w:tcW w:w="1400" w:type="pct"/>
            <w:tcBorders>
              <w:top w:val="single" w:sz="2" w:space="0" w:color="BFBFBF"/>
              <w:left w:val="single" w:sz="2" w:space="0" w:color="BFBFBF"/>
              <w:bottom w:val="single" w:sz="2" w:space="0" w:color="BFBFBF"/>
              <w:right w:val="single" w:sz="2" w:space="0" w:color="BFBFBF"/>
            </w:tcBorders>
            <w:shd w:val="clear" w:color="auto" w:fill="E7E6E6"/>
            <w:tcMar>
              <w:top w:w="80" w:type="dxa"/>
              <w:left w:w="120" w:type="dxa"/>
              <w:bottom w:w="80" w:type="dxa"/>
              <w:right w:w="120" w:type="dxa"/>
            </w:tcMar>
          </w:tcPr>
          <w:p w14:paraId="00110502" w14:textId="77777777" w:rsidR="006031D8" w:rsidRDefault="00000000">
            <w:r>
              <w:rPr>
                <w:b/>
                <w:bCs/>
                <w:color w:val="1F3864"/>
                <w:sz w:val="21"/>
                <w:szCs w:val="21"/>
              </w:rPr>
              <w:t>Date</w:t>
            </w:r>
          </w:p>
        </w:tc>
        <w:tc>
          <w:tcPr>
            <w:tcW w:w="36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27F9CD02" w14:textId="77777777" w:rsidR="006031D8" w:rsidRDefault="00000000">
            <w:r>
              <w:rPr>
                <w:sz w:val="21"/>
                <w:szCs w:val="21"/>
              </w:rPr>
              <w:t>23 September 2026</w:t>
            </w:r>
          </w:p>
        </w:tc>
      </w:tr>
      <w:tr w:rsidR="006031D8" w14:paraId="59D43196" w14:textId="77777777">
        <w:tblPrEx>
          <w:tblCellMar>
            <w:top w:w="0" w:type="dxa"/>
            <w:bottom w:w="0" w:type="dxa"/>
          </w:tblCellMar>
        </w:tblPrEx>
        <w:tc>
          <w:tcPr>
            <w:tcW w:w="1400" w:type="pct"/>
            <w:tcBorders>
              <w:top w:val="single" w:sz="2" w:space="0" w:color="BFBFBF"/>
              <w:left w:val="single" w:sz="2" w:space="0" w:color="BFBFBF"/>
              <w:bottom w:val="single" w:sz="2" w:space="0" w:color="BFBFBF"/>
              <w:right w:val="single" w:sz="2" w:space="0" w:color="BFBFBF"/>
            </w:tcBorders>
            <w:shd w:val="clear" w:color="auto" w:fill="E7E6E6"/>
            <w:tcMar>
              <w:top w:w="80" w:type="dxa"/>
              <w:left w:w="120" w:type="dxa"/>
              <w:bottom w:w="80" w:type="dxa"/>
              <w:right w:w="120" w:type="dxa"/>
            </w:tcMar>
          </w:tcPr>
          <w:p w14:paraId="22D21677" w14:textId="77777777" w:rsidR="006031D8" w:rsidRDefault="00000000">
            <w:r>
              <w:rPr>
                <w:b/>
                <w:bCs/>
                <w:color w:val="1F3864"/>
                <w:sz w:val="21"/>
                <w:szCs w:val="21"/>
              </w:rPr>
              <w:t>Version</w:t>
            </w:r>
          </w:p>
        </w:tc>
        <w:tc>
          <w:tcPr>
            <w:tcW w:w="36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70B48EB9" w14:textId="77777777" w:rsidR="006031D8" w:rsidRDefault="00000000">
            <w:r>
              <w:rPr>
                <w:sz w:val="21"/>
                <w:szCs w:val="21"/>
              </w:rPr>
              <w:t>1.0</w:t>
            </w:r>
          </w:p>
        </w:tc>
      </w:tr>
      <w:tr w:rsidR="006031D8" w14:paraId="228989D8" w14:textId="77777777">
        <w:tblPrEx>
          <w:tblCellMar>
            <w:top w:w="0" w:type="dxa"/>
            <w:bottom w:w="0" w:type="dxa"/>
          </w:tblCellMar>
        </w:tblPrEx>
        <w:tc>
          <w:tcPr>
            <w:tcW w:w="1400" w:type="pct"/>
            <w:tcBorders>
              <w:top w:val="single" w:sz="2" w:space="0" w:color="BFBFBF"/>
              <w:left w:val="single" w:sz="2" w:space="0" w:color="BFBFBF"/>
              <w:bottom w:val="single" w:sz="2" w:space="0" w:color="BFBFBF"/>
              <w:right w:val="single" w:sz="2" w:space="0" w:color="BFBFBF"/>
            </w:tcBorders>
            <w:shd w:val="clear" w:color="auto" w:fill="E7E6E6"/>
            <w:tcMar>
              <w:top w:w="80" w:type="dxa"/>
              <w:left w:w="120" w:type="dxa"/>
              <w:bottom w:w="80" w:type="dxa"/>
              <w:right w:w="120" w:type="dxa"/>
            </w:tcMar>
          </w:tcPr>
          <w:p w14:paraId="3C7F345D" w14:textId="77777777" w:rsidR="006031D8" w:rsidRDefault="00000000">
            <w:r>
              <w:rPr>
                <w:b/>
                <w:bCs/>
                <w:color w:val="1F3864"/>
                <w:sz w:val="21"/>
                <w:szCs w:val="21"/>
              </w:rPr>
              <w:t>Document type</w:t>
            </w:r>
          </w:p>
        </w:tc>
        <w:tc>
          <w:tcPr>
            <w:tcW w:w="36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7708AAB3" w14:textId="77777777" w:rsidR="006031D8" w:rsidRDefault="00000000">
            <w:r>
              <w:rPr>
                <w:sz w:val="21"/>
                <w:szCs w:val="21"/>
              </w:rPr>
              <w:t>Project requirements</w:t>
            </w:r>
          </w:p>
        </w:tc>
      </w:tr>
      <w:tr w:rsidR="006031D8" w14:paraId="3C0B08D3" w14:textId="77777777">
        <w:tblPrEx>
          <w:tblCellMar>
            <w:top w:w="0" w:type="dxa"/>
            <w:bottom w:w="0" w:type="dxa"/>
          </w:tblCellMar>
        </w:tblPrEx>
        <w:tc>
          <w:tcPr>
            <w:tcW w:w="1400" w:type="pct"/>
            <w:tcBorders>
              <w:top w:val="single" w:sz="2" w:space="0" w:color="BFBFBF"/>
              <w:left w:val="single" w:sz="2" w:space="0" w:color="BFBFBF"/>
              <w:bottom w:val="single" w:sz="2" w:space="0" w:color="BFBFBF"/>
              <w:right w:val="single" w:sz="2" w:space="0" w:color="BFBFBF"/>
            </w:tcBorders>
            <w:shd w:val="clear" w:color="auto" w:fill="E7E6E6"/>
            <w:tcMar>
              <w:top w:w="80" w:type="dxa"/>
              <w:left w:w="120" w:type="dxa"/>
              <w:bottom w:w="80" w:type="dxa"/>
              <w:right w:w="120" w:type="dxa"/>
            </w:tcMar>
          </w:tcPr>
          <w:p w14:paraId="1179DDD7" w14:textId="77777777" w:rsidR="006031D8" w:rsidRDefault="00000000">
            <w:r>
              <w:rPr>
                <w:b/>
                <w:bCs/>
                <w:color w:val="1F3864"/>
                <w:sz w:val="21"/>
                <w:szCs w:val="21"/>
              </w:rPr>
              <w:t>Related documents</w:t>
            </w:r>
          </w:p>
        </w:tc>
        <w:tc>
          <w:tcPr>
            <w:tcW w:w="36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0B4047B1" w14:textId="1627C86C" w:rsidR="006031D8" w:rsidRDefault="00000000">
            <w:r>
              <w:rPr>
                <w:sz w:val="21"/>
                <w:szCs w:val="21"/>
              </w:rPr>
              <w:t>Scope of Work v1.0 (23 Sept 2026) — phasing, timeline and responsibilities</w:t>
            </w:r>
          </w:p>
        </w:tc>
      </w:tr>
    </w:tbl>
    <w:p w14:paraId="0E5E50FC" w14:textId="77777777" w:rsidR="006031D8" w:rsidRDefault="006031D8">
      <w:pPr>
        <w:spacing w:after="240"/>
      </w:pPr>
    </w:p>
    <w:p w14:paraId="53558E37" w14:textId="77777777" w:rsidR="006031D8" w:rsidRDefault="00000000">
      <w:r>
        <w:br w:type="page"/>
      </w:r>
    </w:p>
    <w:p w14:paraId="143DB670" w14:textId="77777777" w:rsidR="006031D8" w:rsidRDefault="00000000">
      <w:pPr>
        <w:pStyle w:val="Heading1"/>
        <w:spacing w:before="360" w:after="160"/>
      </w:pPr>
      <w:r>
        <w:rPr>
          <w:b/>
          <w:bCs/>
          <w:color w:val="1F3864"/>
          <w:sz w:val="28"/>
          <w:szCs w:val="28"/>
        </w:rPr>
        <w:lastRenderedPageBreak/>
        <w:t>1. Purpose of This Document</w:t>
      </w:r>
    </w:p>
    <w:p w14:paraId="1E8CB417" w14:textId="3A9793F8" w:rsidR="006031D8" w:rsidRDefault="00000000">
      <w:pPr>
        <w:spacing w:after="160" w:line="276" w:lineRule="auto"/>
      </w:pPr>
      <w:r>
        <w:rPr>
          <w:sz w:val="22"/>
          <w:szCs w:val="22"/>
        </w:rPr>
        <w:t>This document sets out the requirements for the BMP &amp; Co. LLP statutory compliance system, reflecting the direction agreed in the project discussion held on 18 September 2026.</w:t>
      </w:r>
    </w:p>
    <w:p w14:paraId="16E5A230" w14:textId="77777777" w:rsidR="006031D8" w:rsidRDefault="00000000">
      <w:pPr>
        <w:spacing w:after="160" w:line="276" w:lineRule="auto"/>
      </w:pPr>
      <w:r>
        <w:rPr>
          <w:sz w:val="22"/>
          <w:szCs w:val="22"/>
        </w:rPr>
        <w:t>It should be read together with the companion Scope of Work document, which sets out how these requirements are delivered in phases, on what timeline, and who is responsible for what. Where the Technical Overview already describes an element of the architecture in detail (for example the database categories, the audit trail, or data-security handling), this document states the requirement and cross-refers to that detail rather than repeating it.</w:t>
      </w:r>
    </w:p>
    <w:p w14:paraId="028BB806" w14:textId="77777777" w:rsidR="006031D8" w:rsidRDefault="00000000">
      <w:pPr>
        <w:pStyle w:val="Heading1"/>
        <w:spacing w:before="360" w:after="160"/>
      </w:pPr>
      <w:r>
        <w:rPr>
          <w:b/>
          <w:bCs/>
          <w:color w:val="1F3864"/>
          <w:sz w:val="28"/>
          <w:szCs w:val="28"/>
        </w:rPr>
        <w:t>2. Background</w:t>
      </w:r>
    </w:p>
    <w:p w14:paraId="451F7494" w14:textId="77777777" w:rsidR="006031D8" w:rsidRDefault="00000000">
      <w:pPr>
        <w:pStyle w:val="Heading2"/>
        <w:spacing w:before="240" w:after="120"/>
      </w:pPr>
      <w:r>
        <w:rPr>
          <w:b/>
          <w:bCs/>
          <w:color w:val="1F3864"/>
          <w:sz w:val="24"/>
          <w:szCs w:val="24"/>
        </w:rPr>
        <w:t>2.1 About BMP</w:t>
      </w:r>
    </w:p>
    <w:p w14:paraId="62C826A9" w14:textId="77777777" w:rsidR="006031D8" w:rsidRDefault="00000000">
      <w:pPr>
        <w:spacing w:after="160" w:line="276" w:lineRule="auto"/>
      </w:pPr>
      <w:r>
        <w:rPr>
          <w:sz w:val="22"/>
          <w:szCs w:val="22"/>
        </w:rPr>
        <w:t>BMP &amp; Co. LLP is an Indian company-secretarial and corporate-compliance firm of around 120 staff, with offices in Gurgaon, Mumbai and Bangalore. The firm maintains statutory records for a portfolio of client companies under the Companies Act, 2013.</w:t>
      </w:r>
    </w:p>
    <w:p w14:paraId="33800A85" w14:textId="77777777" w:rsidR="006031D8" w:rsidRDefault="00000000">
      <w:pPr>
        <w:pStyle w:val="Heading2"/>
        <w:spacing w:before="240" w:after="120"/>
      </w:pPr>
      <w:r>
        <w:rPr>
          <w:b/>
          <w:bCs/>
          <w:color w:val="1F3864"/>
          <w:sz w:val="24"/>
          <w:szCs w:val="24"/>
        </w:rPr>
        <w:t>2.2 How the Requirements Got Here</w:t>
      </w:r>
    </w:p>
    <w:p w14:paraId="52206416" w14:textId="77777777" w:rsidR="006031D8" w:rsidRDefault="00000000">
      <w:pPr>
        <w:spacing w:after="160" w:line="276" w:lineRule="auto"/>
      </w:pPr>
      <w:r>
        <w:rPr>
          <w:sz w:val="22"/>
          <w:szCs w:val="22"/>
        </w:rPr>
        <w:t>The project began on 17 August 2026. The original brief was to remove data entry from the application as far as possible. A follow-up discussion on 18 September 2026 developed this into a fuller set of requirements, built around a specific sequencing decision: build a solid, traditional system of record first, and only then layer AI on top of it, rather than attempting to add AI to something that does not yet exist. That sequencing decision governs every requirement in this document and is restated in section 3.</w:t>
      </w:r>
    </w:p>
    <w:p w14:paraId="3FAC7CAE" w14:textId="77777777" w:rsidR="006031D8" w:rsidRDefault="00000000">
      <w:pPr>
        <w:pStyle w:val="Heading2"/>
        <w:spacing w:before="240" w:after="120"/>
      </w:pPr>
      <w:r>
        <w:rPr>
          <w:b/>
          <w:bCs/>
          <w:color w:val="1F3864"/>
          <w:sz w:val="24"/>
          <w:szCs w:val="24"/>
        </w:rPr>
        <w:t>2.3 Market Context</w:t>
      </w:r>
    </w:p>
    <w:p w14:paraId="5737ED23" w14:textId="7F12D06A" w:rsidR="006031D8" w:rsidRDefault="00000000">
      <w:pPr>
        <w:spacing w:after="160" w:line="276" w:lineRule="auto"/>
      </w:pPr>
      <w:r>
        <w:rPr>
          <w:sz w:val="22"/>
          <w:szCs w:val="22"/>
        </w:rPr>
        <w:t>BMP has been looking at existing tools in this space, including ComplyRelax, a</w:t>
      </w:r>
      <w:r w:rsidR="00076DC1">
        <w:rPr>
          <w:sz w:val="22"/>
          <w:szCs w:val="22"/>
        </w:rPr>
        <w:t xml:space="preserve"> </w:t>
      </w:r>
      <w:r>
        <w:rPr>
          <w:sz w:val="22"/>
          <w:szCs w:val="22"/>
        </w:rPr>
        <w:t>compliance research and document-analysis product operated by Businessnow Private Limited in Jaipur, aimed at company secretaries, chartered accountants, and legal and finance teams. Tools of this kind bring first-pass compliance research, full-document review (rather than isolated fragments), and referenced, source-backed answers into a single workflow, while being explicit about where the evidence or applicability is incomplete.</w:t>
      </w:r>
    </w:p>
    <w:p w14:paraId="17912DF6" w14:textId="15C7160B" w:rsidR="006031D8" w:rsidRDefault="00000000">
      <w:pPr>
        <w:spacing w:after="160" w:line="276" w:lineRule="auto"/>
      </w:pPr>
      <w:r>
        <w:rPr>
          <w:sz w:val="22"/>
          <w:szCs w:val="22"/>
        </w:rPr>
        <w:t xml:space="preserve">BMP's aim is not to replicate such a tool feature-for-feature, but to build a parallel and improved solution for its own compliance-management work </w:t>
      </w:r>
      <w:r w:rsidR="00076DC1">
        <w:rPr>
          <w:sz w:val="22"/>
          <w:szCs w:val="22"/>
        </w:rPr>
        <w:t>,</w:t>
      </w:r>
      <w:r>
        <w:rPr>
          <w:sz w:val="22"/>
          <w:szCs w:val="22"/>
        </w:rPr>
        <w:t xml:space="preserve"> one that, unlike the tools BMP has reviewed, removes the heavy manual data entry it currently experiences, while still reaching the same standard of grounded, source-referenced output once the AI layer (Phase 2 onward) is in place.</w:t>
      </w:r>
    </w:p>
    <w:p w14:paraId="379CEC77" w14:textId="77777777" w:rsidR="006031D8" w:rsidRDefault="00000000">
      <w:pPr>
        <w:pStyle w:val="Heading1"/>
        <w:spacing w:before="360" w:after="160"/>
      </w:pPr>
      <w:r>
        <w:rPr>
          <w:b/>
          <w:bCs/>
          <w:color w:val="1F3864"/>
          <w:sz w:val="28"/>
          <w:szCs w:val="28"/>
        </w:rPr>
        <w:t>3. Guiding Principle: System of Record First, AI Second</w:t>
      </w:r>
    </w:p>
    <w:p w14:paraId="1A28709E" w14:textId="77777777" w:rsidR="006031D8" w:rsidRDefault="00000000">
      <w:pPr>
        <w:spacing w:after="160" w:line="276" w:lineRule="auto"/>
      </w:pPr>
      <w:r>
        <w:rPr>
          <w:sz w:val="22"/>
          <w:szCs w:val="22"/>
        </w:rPr>
        <w:t>This was the central decision from the 18 September discussion, and it shapes the requirements that follow:</w:t>
      </w:r>
    </w:p>
    <w:p w14:paraId="1C7519A5" w14:textId="77777777" w:rsidR="006031D8" w:rsidRDefault="00000000">
      <w:pPr>
        <w:pStyle w:val="ListParagraph"/>
        <w:numPr>
          <w:ilvl w:val="0"/>
          <w:numId w:val="2"/>
        </w:numPr>
        <w:spacing w:after="90" w:line="276" w:lineRule="auto"/>
      </w:pPr>
      <w:r>
        <w:rPr>
          <w:sz w:val="22"/>
          <w:szCs w:val="22"/>
        </w:rPr>
        <w:t>AI works best when it has well-organised data to read from and write to; without a proper system of record, it would be guessing at how information fits together.</w:t>
      </w:r>
    </w:p>
    <w:p w14:paraId="536583EA" w14:textId="77777777" w:rsidR="006031D8" w:rsidRDefault="00000000">
      <w:pPr>
        <w:pStyle w:val="ListParagraph"/>
        <w:numPr>
          <w:ilvl w:val="0"/>
          <w:numId w:val="2"/>
        </w:numPr>
        <w:spacing w:after="90" w:line="276" w:lineRule="auto"/>
      </w:pPr>
      <w:r>
        <w:rPr>
          <w:sz w:val="22"/>
          <w:szCs w:val="22"/>
        </w:rPr>
        <w:lastRenderedPageBreak/>
        <w:t>A structured database is useful on its own, as a compliance-management tool, even before any AI capability is switched on.</w:t>
      </w:r>
    </w:p>
    <w:p w14:paraId="788291F4" w14:textId="6DB9653C" w:rsidR="006031D8" w:rsidRDefault="00000000">
      <w:pPr>
        <w:pStyle w:val="ListParagraph"/>
        <w:numPr>
          <w:ilvl w:val="0"/>
          <w:numId w:val="2"/>
        </w:numPr>
        <w:spacing w:after="90" w:line="276" w:lineRule="auto"/>
      </w:pPr>
      <w:r>
        <w:rPr>
          <w:sz w:val="22"/>
          <w:szCs w:val="22"/>
        </w:rPr>
        <w:t>This approach is more reliable, easier to audit, and easier to defend.</w:t>
      </w:r>
    </w:p>
    <w:p w14:paraId="442637B3" w14:textId="77777777" w:rsidR="006031D8" w:rsidRDefault="00000000">
      <w:pPr>
        <w:spacing w:after="160" w:line="276" w:lineRule="auto"/>
      </w:pPr>
      <w:r>
        <w:rPr>
          <w:sz w:val="22"/>
          <w:szCs w:val="22"/>
        </w:rPr>
        <w:t>In practical terms, this means the entity and data model (section 4.1) must be complete and correctly related before any AI capability (section 4.3) is built against it, and that the data model itself should be designed outward from what the tasks actually require, not the reverse.</w:t>
      </w:r>
    </w:p>
    <w:p w14:paraId="0933A3D3" w14:textId="77777777" w:rsidR="006031D8" w:rsidRDefault="00000000">
      <w:pPr>
        <w:pStyle w:val="Heading1"/>
        <w:spacing w:before="360" w:after="160"/>
      </w:pPr>
      <w:r>
        <w:rPr>
          <w:b/>
          <w:bCs/>
          <w:color w:val="1F3864"/>
          <w:sz w:val="28"/>
          <w:szCs w:val="28"/>
        </w:rPr>
        <w:t>4. Functional Requirements</w:t>
      </w:r>
    </w:p>
    <w:p w14:paraId="1D20884E" w14:textId="77777777" w:rsidR="006031D8" w:rsidRDefault="00000000">
      <w:pPr>
        <w:pStyle w:val="Heading2"/>
        <w:spacing w:before="240" w:after="120"/>
      </w:pPr>
      <w:r>
        <w:rPr>
          <w:b/>
          <w:bCs/>
          <w:color w:val="1F3864"/>
          <w:sz w:val="24"/>
          <w:szCs w:val="24"/>
        </w:rPr>
        <w:t>4.1 System of Record: Entities and Relationships</w:t>
      </w:r>
    </w:p>
    <w:p w14:paraId="0419EA16" w14:textId="77777777" w:rsidR="006031D8" w:rsidRDefault="00000000">
      <w:pPr>
        <w:spacing w:after="160" w:line="276" w:lineRule="auto"/>
      </w:pPr>
      <w:r>
        <w:rPr>
          <w:sz w:val="22"/>
          <w:szCs w:val="22"/>
        </w:rPr>
        <w:t>The database must define clearly bounded entities with clear, understandable relationships between them. The full set of entity categories (Company, People, Roles, Meetings, Share Capital, Obligations, Evidence, Government Filings, Financial Records, the Rules Engine, Standard Lists and the Audit Trail) is described in detail in the Technical Overview, section 3.2, and that model is retained here. The requirements specific to this document are:</w:t>
      </w:r>
    </w:p>
    <w:p w14:paraId="713607FC" w14:textId="77777777" w:rsidR="006031D8" w:rsidRDefault="00000000">
      <w:pPr>
        <w:pStyle w:val="ListParagraph"/>
        <w:numPr>
          <w:ilvl w:val="0"/>
          <w:numId w:val="2"/>
        </w:numPr>
        <w:spacing w:after="90" w:line="276" w:lineRule="auto"/>
      </w:pPr>
      <w:r>
        <w:rPr>
          <w:b/>
          <w:bCs/>
          <w:color w:val="1F3864"/>
          <w:sz w:val="22"/>
          <w:szCs w:val="22"/>
        </w:rPr>
        <w:t xml:space="preserve">FR-1. </w:t>
      </w:r>
      <w:r>
        <w:rPr>
          <w:sz w:val="22"/>
          <w:szCs w:val="22"/>
        </w:rPr>
        <w:t>Obligations must be defined as the statutory processes BMP is required to complete under the Companies Act, 2013 and related regulation.</w:t>
      </w:r>
    </w:p>
    <w:p w14:paraId="40DD3F04" w14:textId="77777777" w:rsidR="006031D8" w:rsidRDefault="00000000">
      <w:pPr>
        <w:pStyle w:val="ListParagraph"/>
        <w:numPr>
          <w:ilvl w:val="0"/>
          <w:numId w:val="2"/>
        </w:numPr>
        <w:spacing w:after="90" w:line="276" w:lineRule="auto"/>
      </w:pPr>
      <w:r>
        <w:rPr>
          <w:b/>
          <w:bCs/>
          <w:color w:val="1F3864"/>
          <w:sz w:val="22"/>
          <w:szCs w:val="22"/>
        </w:rPr>
        <w:t xml:space="preserve">FR-2. </w:t>
      </w:r>
      <w:r>
        <w:rPr>
          <w:sz w:val="22"/>
          <w:szCs w:val="22"/>
        </w:rPr>
        <w:t>Tasks must be defined as the concrete steps carried out against entities to meet an obligation. Task definitions are the starting point for schema design: for each task, the fields, source documents and entity relationships it depends on should be identified first, and the surrounding data model built out from that, rather than designing the data model in isolation and fitting tasks to it afterwards.</w:t>
      </w:r>
    </w:p>
    <w:p w14:paraId="02C748A9" w14:textId="1D2CC96F" w:rsidR="006031D8" w:rsidRDefault="00000000">
      <w:pPr>
        <w:pStyle w:val="ListParagraph"/>
        <w:numPr>
          <w:ilvl w:val="0"/>
          <w:numId w:val="2"/>
        </w:numPr>
        <w:spacing w:after="90" w:line="276" w:lineRule="auto"/>
      </w:pPr>
      <w:r>
        <w:rPr>
          <w:b/>
          <w:bCs/>
          <w:color w:val="1F3864"/>
          <w:sz w:val="22"/>
          <w:szCs w:val="22"/>
        </w:rPr>
        <w:t xml:space="preserve">FR-3. </w:t>
      </w:r>
      <w:r>
        <w:rPr>
          <w:sz w:val="22"/>
          <w:szCs w:val="22"/>
        </w:rPr>
        <w:t>The system of record must store Evidence</w:t>
      </w:r>
      <w:r w:rsidR="00076DC1">
        <w:rPr>
          <w:sz w:val="22"/>
          <w:szCs w:val="22"/>
        </w:rPr>
        <w:t>,</w:t>
      </w:r>
      <w:r>
        <w:rPr>
          <w:sz w:val="22"/>
          <w:szCs w:val="22"/>
        </w:rPr>
        <w:t xml:space="preserve"> the source documents and records that support each task and entity</w:t>
      </w:r>
      <w:r w:rsidR="00076DC1">
        <w:rPr>
          <w:sz w:val="22"/>
          <w:szCs w:val="22"/>
        </w:rPr>
        <w:t>,</w:t>
      </w:r>
      <w:r>
        <w:rPr>
          <w:sz w:val="22"/>
          <w:szCs w:val="22"/>
        </w:rPr>
        <w:t xml:space="preserve"> with a durable link back to the task, entity or person it evidences.</w:t>
      </w:r>
    </w:p>
    <w:p w14:paraId="323B2475" w14:textId="77777777" w:rsidR="006031D8" w:rsidRDefault="00000000">
      <w:pPr>
        <w:pStyle w:val="ListParagraph"/>
        <w:numPr>
          <w:ilvl w:val="0"/>
          <w:numId w:val="2"/>
        </w:numPr>
        <w:spacing w:after="90" w:line="276" w:lineRule="auto"/>
      </w:pPr>
      <w:r>
        <w:rPr>
          <w:b/>
          <w:bCs/>
          <w:color w:val="1F3864"/>
          <w:sz w:val="22"/>
          <w:szCs w:val="22"/>
        </w:rPr>
        <w:t xml:space="preserve">FR-4. </w:t>
      </w:r>
      <w:r>
        <w:rPr>
          <w:sz w:val="22"/>
          <w:szCs w:val="22"/>
        </w:rPr>
        <w:t>The system must expose an API / data-access layer so the database can be read from and written to by the admin interface, the dashboard, and, later, the AI tool layer.</w:t>
      </w:r>
    </w:p>
    <w:p w14:paraId="21F264AA" w14:textId="77777777" w:rsidR="006031D8" w:rsidRDefault="00000000">
      <w:pPr>
        <w:pStyle w:val="Heading2"/>
        <w:spacing w:before="240" w:after="120"/>
      </w:pPr>
      <w:r>
        <w:rPr>
          <w:b/>
          <w:bCs/>
          <w:color w:val="1F3864"/>
          <w:sz w:val="24"/>
          <w:szCs w:val="24"/>
        </w:rPr>
        <w:t>4.2 The User Database and the Activity Database</w:t>
      </w:r>
    </w:p>
    <w:p w14:paraId="6B0C952A" w14:textId="28E87C49" w:rsidR="006031D8" w:rsidRDefault="00076DC1">
      <w:pPr>
        <w:spacing w:after="160" w:line="276" w:lineRule="auto"/>
      </w:pPr>
      <w:r>
        <w:rPr>
          <w:sz w:val="22"/>
          <w:szCs w:val="22"/>
        </w:rPr>
        <w:t>T</w:t>
      </w:r>
      <w:r w:rsidR="00000000">
        <w:rPr>
          <w:sz w:val="22"/>
          <w:szCs w:val="22"/>
        </w:rPr>
        <w:t>wo related structures:</w:t>
      </w:r>
    </w:p>
    <w:p w14:paraId="5CC34A11" w14:textId="77777777" w:rsidR="006031D8" w:rsidRDefault="00000000">
      <w:pPr>
        <w:pStyle w:val="ListParagraph"/>
        <w:numPr>
          <w:ilvl w:val="0"/>
          <w:numId w:val="2"/>
        </w:numPr>
        <w:spacing w:after="90" w:line="276" w:lineRule="auto"/>
      </w:pPr>
      <w:r>
        <w:rPr>
          <w:b/>
          <w:bCs/>
          <w:color w:val="1F3864"/>
          <w:sz w:val="22"/>
          <w:szCs w:val="22"/>
        </w:rPr>
        <w:t xml:space="preserve">FR-5. </w:t>
      </w:r>
      <w:r>
        <w:rPr>
          <w:sz w:val="22"/>
          <w:szCs w:val="22"/>
        </w:rPr>
        <w:t>A User Database: multiple related tables holding company details and the associated people, roles and other entity data, built from the field list already supplied by BMP in its own spreadsheet.</w:t>
      </w:r>
    </w:p>
    <w:p w14:paraId="4AFD57E6" w14:textId="77777777" w:rsidR="006031D8" w:rsidRDefault="00000000">
      <w:pPr>
        <w:pStyle w:val="ListParagraph"/>
        <w:numPr>
          <w:ilvl w:val="0"/>
          <w:numId w:val="2"/>
        </w:numPr>
        <w:spacing w:after="90" w:line="276" w:lineRule="auto"/>
      </w:pPr>
      <w:r>
        <w:rPr>
          <w:b/>
          <w:bCs/>
          <w:color w:val="1F3864"/>
          <w:sz w:val="22"/>
          <w:szCs w:val="22"/>
        </w:rPr>
        <w:t xml:space="preserve">FR-6. </w:t>
      </w:r>
      <w:r>
        <w:rPr>
          <w:sz w:val="22"/>
          <w:szCs w:val="22"/>
        </w:rPr>
        <w:t>An Activity Database: the tasks belonging to an activity (an obligation such as a board meeting or an AGM), each with clearly defined steps, and each step carrying its association back to the specific records in the User Database it involves.</w:t>
      </w:r>
    </w:p>
    <w:p w14:paraId="73E12EBD" w14:textId="77777777" w:rsidR="006031D8" w:rsidRDefault="00000000">
      <w:pPr>
        <w:pStyle w:val="Heading2"/>
        <w:spacing w:before="240" w:after="120"/>
      </w:pPr>
      <w:r>
        <w:rPr>
          <w:b/>
          <w:bCs/>
          <w:color w:val="1F3864"/>
          <w:sz w:val="24"/>
          <w:szCs w:val="24"/>
        </w:rPr>
        <w:t>4.3 AI-Assisted Capabilities (Phase 2 Onward)</w:t>
      </w:r>
    </w:p>
    <w:p w14:paraId="20CAF010" w14:textId="77777777" w:rsidR="006031D8" w:rsidRDefault="00000000">
      <w:pPr>
        <w:spacing w:after="160" w:line="276" w:lineRule="auto"/>
      </w:pPr>
      <w:r>
        <w:rPr>
          <w:sz w:val="22"/>
          <w:szCs w:val="22"/>
        </w:rPr>
        <w:t>Once the system of record is in place, the following AI-assisted capabilities are required, each of them examples the client raised directly:</w:t>
      </w:r>
    </w:p>
    <w:p w14:paraId="246862C4" w14:textId="77777777" w:rsidR="006031D8" w:rsidRDefault="00000000">
      <w:pPr>
        <w:pStyle w:val="ListParagraph"/>
        <w:numPr>
          <w:ilvl w:val="0"/>
          <w:numId w:val="2"/>
        </w:numPr>
        <w:spacing w:after="90" w:line="276" w:lineRule="auto"/>
      </w:pPr>
      <w:r>
        <w:rPr>
          <w:b/>
          <w:bCs/>
          <w:color w:val="1F3864"/>
          <w:sz w:val="22"/>
          <w:szCs w:val="22"/>
        </w:rPr>
        <w:t xml:space="preserve">FR-7. </w:t>
      </w:r>
      <w:r>
        <w:rPr>
          <w:sz w:val="22"/>
          <w:szCs w:val="22"/>
        </w:rPr>
        <w:t>Parse an uploaded file and extract the relevant fields into the database automatically, for a person to check before anything is saved.</w:t>
      </w:r>
    </w:p>
    <w:p w14:paraId="53A1C195" w14:textId="77777777" w:rsidR="006031D8" w:rsidRDefault="00000000">
      <w:pPr>
        <w:pStyle w:val="ListParagraph"/>
        <w:numPr>
          <w:ilvl w:val="0"/>
          <w:numId w:val="2"/>
        </w:numPr>
        <w:spacing w:after="90" w:line="276" w:lineRule="auto"/>
      </w:pPr>
      <w:r>
        <w:rPr>
          <w:b/>
          <w:bCs/>
          <w:color w:val="1F3864"/>
          <w:sz w:val="22"/>
          <w:szCs w:val="22"/>
        </w:rPr>
        <w:lastRenderedPageBreak/>
        <w:t xml:space="preserve">FR-8. </w:t>
      </w:r>
      <w:r>
        <w:rPr>
          <w:sz w:val="22"/>
          <w:szCs w:val="22"/>
        </w:rPr>
        <w:t>Carry out a client task, such as setting up a board meeting, from a short prompt giving a few details, without a person having to create each step and record by hand.</w:t>
      </w:r>
    </w:p>
    <w:p w14:paraId="7F8C5CCC" w14:textId="77777777" w:rsidR="006031D8" w:rsidRDefault="00000000">
      <w:pPr>
        <w:pStyle w:val="ListParagraph"/>
        <w:numPr>
          <w:ilvl w:val="0"/>
          <w:numId w:val="2"/>
        </w:numPr>
        <w:spacing w:after="90" w:line="276" w:lineRule="auto"/>
      </w:pPr>
      <w:r>
        <w:rPr>
          <w:b/>
          <w:bCs/>
          <w:color w:val="1F3864"/>
          <w:sz w:val="22"/>
          <w:szCs w:val="22"/>
        </w:rPr>
        <w:t xml:space="preserve">FR-9. </w:t>
      </w:r>
      <w:r>
        <w:rPr>
          <w:sz w:val="22"/>
          <w:szCs w:val="22"/>
        </w:rPr>
        <w:t>Send the resulting communications to the people involved in a task (for example, meeting notices) automatically once the task is set up, rather than requiring someone to draft and send each email manually, subject to the confirmation requirement in FR-13.</w:t>
      </w:r>
    </w:p>
    <w:p w14:paraId="46D0FEFC" w14:textId="0E1C4AFA" w:rsidR="006031D8" w:rsidRDefault="00000000">
      <w:pPr>
        <w:spacing w:after="160" w:line="276" w:lineRule="auto"/>
      </w:pPr>
      <w:r>
        <w:rPr>
          <w:sz w:val="22"/>
          <w:szCs w:val="22"/>
        </w:rPr>
        <w:t>These three capabilities correspond to Capabilities 1–3 in the Technical Overview (section on the AGM pilot); Capability 4 there</w:t>
      </w:r>
      <w:r w:rsidR="00076DC1">
        <w:rPr>
          <w:sz w:val="22"/>
          <w:szCs w:val="22"/>
        </w:rPr>
        <w:t xml:space="preserve">, </w:t>
      </w:r>
      <w:r>
        <w:rPr>
          <w:sz w:val="22"/>
          <w:szCs w:val="22"/>
        </w:rPr>
        <w:t>answering questions from documents with a cited source</w:t>
      </w:r>
      <w:r w:rsidR="00076DC1">
        <w:rPr>
          <w:sz w:val="22"/>
          <w:szCs w:val="22"/>
        </w:rPr>
        <w:t xml:space="preserve">, </w:t>
      </w:r>
      <w:r>
        <w:rPr>
          <w:sz w:val="22"/>
          <w:szCs w:val="22"/>
        </w:rPr>
        <w:t>is the requirement that most directly mirrors the market context in section 2.3 above, and should be designed to the same standard: an answer grounded in a specific source, with limitations flagged rather than guessed at.</w:t>
      </w:r>
    </w:p>
    <w:p w14:paraId="5AD2F392" w14:textId="77777777" w:rsidR="006031D8" w:rsidRDefault="00000000">
      <w:pPr>
        <w:pStyle w:val="Heading2"/>
        <w:spacing w:before="240" w:after="120"/>
      </w:pPr>
      <w:r>
        <w:rPr>
          <w:b/>
          <w:bCs/>
          <w:color w:val="1F3864"/>
          <w:sz w:val="24"/>
          <w:szCs w:val="24"/>
        </w:rPr>
        <w:t>4.4 Per-Company Context and Continuity</w:t>
      </w:r>
    </w:p>
    <w:p w14:paraId="69D702B3" w14:textId="77777777" w:rsidR="006031D8" w:rsidRDefault="00000000">
      <w:pPr>
        <w:pStyle w:val="ListParagraph"/>
        <w:numPr>
          <w:ilvl w:val="0"/>
          <w:numId w:val="2"/>
        </w:numPr>
        <w:spacing w:after="90" w:line="276" w:lineRule="auto"/>
      </w:pPr>
      <w:r>
        <w:rPr>
          <w:b/>
          <w:bCs/>
          <w:color w:val="1F3864"/>
          <w:sz w:val="22"/>
          <w:szCs w:val="22"/>
        </w:rPr>
        <w:t xml:space="preserve">FR-10. </w:t>
      </w:r>
      <w:r>
        <w:rPr>
          <w:sz w:val="22"/>
          <w:szCs w:val="22"/>
        </w:rPr>
        <w:t>Each client company must work within its own isolated context: only the tools and data applicable to that company are available within it, and one company's data is never exposed while working on another's.</w:t>
      </w:r>
    </w:p>
    <w:p w14:paraId="788F84FC" w14:textId="77777777" w:rsidR="006031D8" w:rsidRDefault="00000000">
      <w:pPr>
        <w:pStyle w:val="ListParagraph"/>
        <w:numPr>
          <w:ilvl w:val="0"/>
          <w:numId w:val="2"/>
        </w:numPr>
        <w:spacing w:after="90" w:line="276" w:lineRule="auto"/>
      </w:pPr>
      <w:r>
        <w:rPr>
          <w:b/>
          <w:bCs/>
          <w:color w:val="1F3864"/>
          <w:sz w:val="22"/>
          <w:szCs w:val="22"/>
        </w:rPr>
        <w:t xml:space="preserve">FR-11. </w:t>
      </w:r>
      <w:r>
        <w:rPr>
          <w:sz w:val="22"/>
          <w:szCs w:val="22"/>
        </w:rPr>
        <w:t>The context and history of AI-assisted work on a company must be preserved between sessions, so later work builds on what was already established rather than starting from nothing each time.</w:t>
      </w:r>
    </w:p>
    <w:p w14:paraId="34EDB055" w14:textId="77777777" w:rsidR="006031D8" w:rsidRDefault="00000000">
      <w:pPr>
        <w:pStyle w:val="Heading2"/>
        <w:spacing w:before="240" w:after="120"/>
      </w:pPr>
      <w:r>
        <w:rPr>
          <w:b/>
          <w:bCs/>
          <w:color w:val="1F3864"/>
          <w:sz w:val="24"/>
          <w:szCs w:val="24"/>
        </w:rPr>
        <w:t>4.5 Data Privacy Toward the AI Provider</w:t>
      </w:r>
    </w:p>
    <w:p w14:paraId="1D927F3A" w14:textId="77777777" w:rsidR="006031D8" w:rsidRDefault="00000000">
      <w:pPr>
        <w:pStyle w:val="ListParagraph"/>
        <w:numPr>
          <w:ilvl w:val="0"/>
          <w:numId w:val="2"/>
        </w:numPr>
        <w:spacing w:after="90" w:line="276" w:lineRule="auto"/>
      </w:pPr>
      <w:r>
        <w:rPr>
          <w:b/>
          <w:bCs/>
          <w:color w:val="1F3864"/>
          <w:sz w:val="22"/>
          <w:szCs w:val="22"/>
        </w:rPr>
        <w:t xml:space="preserve">FR-12. </w:t>
      </w:r>
      <w:r>
        <w:rPr>
          <w:sz w:val="22"/>
          <w:szCs w:val="22"/>
        </w:rPr>
        <w:t>No data may be exposed to the external AI/LLM provider beyond what a specific task strictly requires, and the provider must not retain BMP's data beyond processing that request. The detailed handling of this requirement (what is sent, what is withheld, and how company separation is enforced) is set out in the Technical Overview, section 5, and is retained unchanged.</w:t>
      </w:r>
    </w:p>
    <w:p w14:paraId="18279F73" w14:textId="77777777" w:rsidR="006031D8" w:rsidRDefault="00000000">
      <w:pPr>
        <w:pStyle w:val="ListParagraph"/>
        <w:numPr>
          <w:ilvl w:val="0"/>
          <w:numId w:val="2"/>
        </w:numPr>
        <w:spacing w:after="90" w:line="276" w:lineRule="auto"/>
      </w:pPr>
      <w:r>
        <w:rPr>
          <w:b/>
          <w:bCs/>
          <w:color w:val="1F3864"/>
          <w:sz w:val="22"/>
          <w:szCs w:val="22"/>
        </w:rPr>
        <w:t xml:space="preserve">FR-13. </w:t>
      </w:r>
      <w:r>
        <w:rPr>
          <w:sz w:val="22"/>
          <w:szCs w:val="22"/>
        </w:rPr>
        <w:t>No database change and no outbound communication may occur without a named person's explicit confirmation. This safeguard must be built into the system itself, not left as an instruction the AI could disregard.</w:t>
      </w:r>
    </w:p>
    <w:p w14:paraId="428AFA5C" w14:textId="4C7064B9" w:rsidR="006031D8" w:rsidRDefault="00000000">
      <w:pPr>
        <w:pStyle w:val="Heading2"/>
        <w:spacing w:before="240" w:after="120"/>
      </w:pPr>
      <w:r>
        <w:rPr>
          <w:b/>
          <w:bCs/>
          <w:color w:val="1F3864"/>
          <w:sz w:val="24"/>
          <w:szCs w:val="24"/>
        </w:rPr>
        <w:t>4.</w:t>
      </w:r>
      <w:r w:rsidR="00076DC1">
        <w:rPr>
          <w:b/>
          <w:bCs/>
          <w:color w:val="1F3864"/>
          <w:sz w:val="24"/>
          <w:szCs w:val="24"/>
        </w:rPr>
        <w:t>6</w:t>
      </w:r>
      <w:r>
        <w:rPr>
          <w:b/>
          <w:bCs/>
          <w:color w:val="1F3864"/>
          <w:sz w:val="24"/>
          <w:szCs w:val="24"/>
        </w:rPr>
        <w:t xml:space="preserve"> Front-End Dashboard</w:t>
      </w:r>
    </w:p>
    <w:p w14:paraId="68B37CFA" w14:textId="19FB1A29" w:rsidR="006031D8" w:rsidRDefault="00000000">
      <w:pPr>
        <w:pStyle w:val="ListParagraph"/>
        <w:numPr>
          <w:ilvl w:val="0"/>
          <w:numId w:val="2"/>
        </w:numPr>
        <w:spacing w:after="90" w:line="276" w:lineRule="auto"/>
      </w:pPr>
      <w:r>
        <w:rPr>
          <w:b/>
          <w:bCs/>
          <w:color w:val="1F3864"/>
          <w:sz w:val="22"/>
          <w:szCs w:val="22"/>
        </w:rPr>
        <w:t>FR-1</w:t>
      </w:r>
      <w:r w:rsidR="00076DC1">
        <w:rPr>
          <w:b/>
          <w:bCs/>
          <w:color w:val="1F3864"/>
          <w:sz w:val="22"/>
          <w:szCs w:val="22"/>
        </w:rPr>
        <w:t>4</w:t>
      </w:r>
      <w:r>
        <w:rPr>
          <w:b/>
          <w:bCs/>
          <w:color w:val="1F3864"/>
          <w:sz w:val="22"/>
          <w:szCs w:val="22"/>
        </w:rPr>
        <w:t xml:space="preserve">. </w:t>
      </w:r>
      <w:r>
        <w:rPr>
          <w:sz w:val="22"/>
          <w:szCs w:val="22"/>
        </w:rPr>
        <w:t>The UI dashboard already supplied by BMP is to be retained, rather than redesigned, and connected to the live system once the single-activity AI orchestration (Phase 2) has been successfully demonstrated.</w:t>
      </w:r>
    </w:p>
    <w:p w14:paraId="48CE7E14" w14:textId="6F032626" w:rsidR="006031D8" w:rsidRDefault="00000000">
      <w:pPr>
        <w:pStyle w:val="Heading2"/>
        <w:spacing w:before="240" w:after="120"/>
      </w:pPr>
      <w:r>
        <w:rPr>
          <w:b/>
          <w:bCs/>
          <w:color w:val="1F3864"/>
          <w:sz w:val="24"/>
          <w:szCs w:val="24"/>
        </w:rPr>
        <w:t>4.</w:t>
      </w:r>
      <w:r w:rsidR="00076DC1">
        <w:rPr>
          <w:b/>
          <w:bCs/>
          <w:color w:val="1F3864"/>
          <w:sz w:val="24"/>
          <w:szCs w:val="24"/>
        </w:rPr>
        <w:t>7</w:t>
      </w:r>
      <w:r>
        <w:rPr>
          <w:b/>
          <w:bCs/>
          <w:color w:val="1F3864"/>
          <w:sz w:val="24"/>
          <w:szCs w:val="24"/>
        </w:rPr>
        <w:t xml:space="preserve"> Deployment Model</w:t>
      </w:r>
    </w:p>
    <w:p w14:paraId="34C79763" w14:textId="0E3AB982" w:rsidR="006031D8" w:rsidRDefault="00000000">
      <w:pPr>
        <w:pStyle w:val="ListParagraph"/>
        <w:numPr>
          <w:ilvl w:val="0"/>
          <w:numId w:val="2"/>
        </w:numPr>
        <w:spacing w:after="90" w:line="276" w:lineRule="auto"/>
      </w:pPr>
      <w:r>
        <w:rPr>
          <w:b/>
          <w:bCs/>
          <w:color w:val="1F3864"/>
          <w:sz w:val="22"/>
          <w:szCs w:val="22"/>
        </w:rPr>
        <w:t>FR-1</w:t>
      </w:r>
      <w:r w:rsidR="00076DC1">
        <w:rPr>
          <w:b/>
          <w:bCs/>
          <w:color w:val="1F3864"/>
          <w:sz w:val="22"/>
          <w:szCs w:val="22"/>
        </w:rPr>
        <w:t>5</w:t>
      </w:r>
      <w:r>
        <w:rPr>
          <w:b/>
          <w:bCs/>
          <w:color w:val="1F3864"/>
          <w:sz w:val="22"/>
          <w:szCs w:val="22"/>
        </w:rPr>
        <w:t xml:space="preserve">. </w:t>
      </w:r>
      <w:r>
        <w:rPr>
          <w:sz w:val="22"/>
          <w:szCs w:val="22"/>
        </w:rPr>
        <w:t>The finished application must be a web-based application usable internally by BMP staff, and architected so that it can also be made available to other interested organisations at a later date.</w:t>
      </w:r>
    </w:p>
    <w:p w14:paraId="25462F97" w14:textId="4B4B5754" w:rsidR="006031D8" w:rsidRDefault="00076DC1">
      <w:pPr>
        <w:pStyle w:val="Heading1"/>
        <w:spacing w:before="360" w:after="160"/>
      </w:pPr>
      <w:r>
        <w:rPr>
          <w:b/>
          <w:bCs/>
          <w:color w:val="1F3864"/>
          <w:sz w:val="28"/>
          <w:szCs w:val="28"/>
        </w:rPr>
        <w:t>5</w:t>
      </w:r>
      <w:r w:rsidR="00000000">
        <w:rPr>
          <w:b/>
          <w:bCs/>
          <w:color w:val="1F3864"/>
          <w:sz w:val="28"/>
          <w:szCs w:val="28"/>
        </w:rPr>
        <w:t>. Data Requirements</w:t>
      </w:r>
    </w:p>
    <w:p w14:paraId="109C7B0A" w14:textId="77777777" w:rsidR="006031D8" w:rsidRDefault="00000000">
      <w:pPr>
        <w:pStyle w:val="ListParagraph"/>
        <w:numPr>
          <w:ilvl w:val="0"/>
          <w:numId w:val="2"/>
        </w:numPr>
        <w:spacing w:after="90" w:line="276" w:lineRule="auto"/>
      </w:pPr>
      <w:r>
        <w:rPr>
          <w:sz w:val="22"/>
          <w:szCs w:val="22"/>
        </w:rPr>
        <w:t>The field definitions for the User Database are taken from the spreadsheet BMP has already prepared and supplied.</w:t>
      </w:r>
    </w:p>
    <w:p w14:paraId="5E28F789" w14:textId="77777777" w:rsidR="006031D8" w:rsidRDefault="00000000">
      <w:pPr>
        <w:pStyle w:val="ListParagraph"/>
        <w:numPr>
          <w:ilvl w:val="0"/>
          <w:numId w:val="2"/>
        </w:numPr>
        <w:spacing w:after="90" w:line="276" w:lineRule="auto"/>
      </w:pPr>
      <w:r>
        <w:rPr>
          <w:sz w:val="22"/>
          <w:szCs w:val="22"/>
        </w:rPr>
        <w:lastRenderedPageBreak/>
        <w:t>Initial seed scope: 5 client companies and 1 activity, fully populated and correctly related, in place by 30 September 2026.</w:t>
      </w:r>
    </w:p>
    <w:p w14:paraId="64AD38DB" w14:textId="77777777" w:rsidR="006031D8" w:rsidRDefault="00000000">
      <w:pPr>
        <w:pStyle w:val="ListParagraph"/>
        <w:numPr>
          <w:ilvl w:val="0"/>
          <w:numId w:val="2"/>
        </w:numPr>
        <w:spacing w:after="90" w:line="276" w:lineRule="auto"/>
      </w:pPr>
      <w:r>
        <w:rPr>
          <w:sz w:val="22"/>
          <w:szCs w:val="22"/>
        </w:rPr>
        <w:t>Subsequent scope: the remaining companies and activities are onboarded progressively over the following 12 months; see the Scope of Work for the phase-by-phase breakdown.</w:t>
      </w:r>
    </w:p>
    <w:p w14:paraId="646B0D96" w14:textId="55B3C068" w:rsidR="006031D8" w:rsidRDefault="00076DC1">
      <w:pPr>
        <w:pStyle w:val="Heading1"/>
        <w:spacing w:before="360" w:after="160"/>
      </w:pPr>
      <w:r>
        <w:rPr>
          <w:b/>
          <w:bCs/>
          <w:color w:val="1F3864"/>
          <w:sz w:val="28"/>
          <w:szCs w:val="28"/>
        </w:rPr>
        <w:t>6</w:t>
      </w:r>
      <w:r w:rsidR="00000000">
        <w:rPr>
          <w:b/>
          <w:bCs/>
          <w:color w:val="1F3864"/>
          <w:sz w:val="28"/>
          <w:szCs w:val="28"/>
        </w:rPr>
        <w:t>. Assumptions and Dependencies</w:t>
      </w:r>
    </w:p>
    <w:p w14:paraId="3C88983E" w14:textId="7DECE28A" w:rsidR="006031D8" w:rsidRDefault="00000000">
      <w:pPr>
        <w:pStyle w:val="ListParagraph"/>
        <w:numPr>
          <w:ilvl w:val="0"/>
          <w:numId w:val="2"/>
        </w:numPr>
        <w:spacing w:after="90" w:line="276" w:lineRule="auto"/>
      </w:pPr>
      <w:r>
        <w:rPr>
          <w:sz w:val="22"/>
          <w:szCs w:val="22"/>
        </w:rPr>
        <w:t>Final AI provider selection depends on acceptable data-retention terms being agreed with BMP</w:t>
      </w:r>
      <w:r w:rsidR="00076DC1">
        <w:rPr>
          <w:sz w:val="22"/>
          <w:szCs w:val="22"/>
        </w:rPr>
        <w:t>.</w:t>
      </w:r>
    </w:p>
    <w:p w14:paraId="5F456906" w14:textId="77777777" w:rsidR="006031D8" w:rsidRDefault="00000000">
      <w:pPr>
        <w:pStyle w:val="ListParagraph"/>
        <w:numPr>
          <w:ilvl w:val="0"/>
          <w:numId w:val="2"/>
        </w:numPr>
        <w:spacing w:after="90" w:line="276" w:lineRule="auto"/>
      </w:pPr>
      <w:r>
        <w:rPr>
          <w:sz w:val="22"/>
          <w:szCs w:val="22"/>
        </w:rPr>
        <w:t>The hosting environment (local versus cloud) will be confirmed separately; the requirements above assume the architecture is portable between the two.</w:t>
      </w:r>
    </w:p>
    <w:p w14:paraId="2DA8776F" w14:textId="6B30DFCE" w:rsidR="006031D8" w:rsidRDefault="00076DC1">
      <w:pPr>
        <w:pStyle w:val="Heading1"/>
        <w:spacing w:before="360" w:after="160"/>
      </w:pPr>
      <w:r>
        <w:rPr>
          <w:b/>
          <w:bCs/>
          <w:color w:val="1F3864"/>
          <w:sz w:val="28"/>
          <w:szCs w:val="28"/>
        </w:rPr>
        <w:t>7</w:t>
      </w:r>
      <w:r w:rsidR="00000000">
        <w:rPr>
          <w:b/>
          <w:bCs/>
          <w:color w:val="1F3864"/>
          <w:sz w:val="28"/>
          <w:szCs w:val="28"/>
        </w:rPr>
        <w:t>. Glossary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14"/>
      </w:tblGrid>
      <w:tr w:rsidR="006031D8" w14:paraId="00ACA26F" w14:textId="77777777">
        <w:tblPrEx>
          <w:tblCellMar>
            <w:top w:w="0" w:type="dxa"/>
            <w:bottom w:w="0" w:type="dxa"/>
          </w:tblCellMar>
        </w:tblPrEx>
        <w:trPr>
          <w:tblHeader/>
        </w:trPr>
        <w:tc>
          <w:tcPr>
            <w:tcW w:w="1500" w:type="pct"/>
            <w:tcBorders>
              <w:top w:val="single" w:sz="2" w:space="0" w:color="BFBFBF"/>
              <w:left w:val="single" w:sz="2" w:space="0" w:color="BFBFBF"/>
              <w:bottom w:val="single" w:sz="2" w:space="0" w:color="BFBFBF"/>
              <w:right w:val="single" w:sz="2" w:space="0" w:color="BFBFBF"/>
            </w:tcBorders>
            <w:shd w:val="clear" w:color="auto" w:fill="E7E6E6"/>
            <w:tcMar>
              <w:top w:w="80" w:type="dxa"/>
              <w:left w:w="120" w:type="dxa"/>
              <w:bottom w:w="80" w:type="dxa"/>
              <w:right w:w="120" w:type="dxa"/>
            </w:tcMar>
          </w:tcPr>
          <w:p w14:paraId="32FA9C0A" w14:textId="77777777" w:rsidR="006031D8" w:rsidRDefault="00000000">
            <w:r>
              <w:rPr>
                <w:b/>
                <w:bCs/>
                <w:color w:val="1F3864"/>
                <w:sz w:val="21"/>
                <w:szCs w:val="21"/>
              </w:rPr>
              <w:t>Term</w:t>
            </w:r>
          </w:p>
        </w:tc>
        <w:tc>
          <w:tcPr>
            <w:tcW w:w="3500" w:type="pct"/>
            <w:tcBorders>
              <w:top w:val="single" w:sz="2" w:space="0" w:color="BFBFBF"/>
              <w:left w:val="single" w:sz="2" w:space="0" w:color="BFBFBF"/>
              <w:bottom w:val="single" w:sz="2" w:space="0" w:color="BFBFBF"/>
              <w:right w:val="single" w:sz="2" w:space="0" w:color="BFBFBF"/>
            </w:tcBorders>
            <w:shd w:val="clear" w:color="auto" w:fill="E7E6E6"/>
            <w:tcMar>
              <w:top w:w="80" w:type="dxa"/>
              <w:left w:w="120" w:type="dxa"/>
              <w:bottom w:w="80" w:type="dxa"/>
              <w:right w:w="120" w:type="dxa"/>
            </w:tcMar>
          </w:tcPr>
          <w:p w14:paraId="534106BF" w14:textId="77777777" w:rsidR="006031D8" w:rsidRDefault="00000000">
            <w:r>
              <w:rPr>
                <w:b/>
                <w:bCs/>
                <w:color w:val="1F3864"/>
                <w:sz w:val="21"/>
                <w:szCs w:val="21"/>
              </w:rPr>
              <w:t>Meaning</w:t>
            </w:r>
          </w:p>
        </w:tc>
      </w:tr>
      <w:tr w:rsidR="006031D8" w14:paraId="75EBCE5E" w14:textId="77777777">
        <w:tblPrEx>
          <w:tblCellMar>
            <w:top w:w="0" w:type="dxa"/>
            <w:bottom w:w="0" w:type="dxa"/>
          </w:tblCellMar>
        </w:tblPrEx>
        <w:tc>
          <w:tcPr>
            <w:tcW w:w="1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79E03604" w14:textId="77777777" w:rsidR="006031D8" w:rsidRDefault="00000000">
            <w:pPr>
              <w:spacing w:after="40" w:line="264" w:lineRule="auto"/>
            </w:pPr>
            <w:r>
              <w:rPr>
                <w:sz w:val="21"/>
                <w:szCs w:val="21"/>
              </w:rPr>
              <w:t>User Database</w:t>
            </w:r>
          </w:p>
        </w:tc>
        <w:tc>
          <w:tcPr>
            <w:tcW w:w="3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2985326A" w14:textId="77777777" w:rsidR="006031D8" w:rsidRDefault="00000000">
            <w:pPr>
              <w:spacing w:after="40" w:line="264" w:lineRule="auto"/>
            </w:pPr>
            <w:r>
              <w:rPr>
                <w:sz w:val="21"/>
                <w:szCs w:val="21"/>
              </w:rPr>
              <w:t>The set of related tables holding company details and associated people/role records. “User” follows BMP's usage and does not mean an application login account.</w:t>
            </w:r>
          </w:p>
        </w:tc>
      </w:tr>
      <w:tr w:rsidR="006031D8" w14:paraId="57BAC245" w14:textId="77777777">
        <w:tblPrEx>
          <w:tblCellMar>
            <w:top w:w="0" w:type="dxa"/>
            <w:bottom w:w="0" w:type="dxa"/>
          </w:tblCellMar>
        </w:tblPrEx>
        <w:tc>
          <w:tcPr>
            <w:tcW w:w="1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7258DF63" w14:textId="77777777" w:rsidR="006031D8" w:rsidRDefault="00000000">
            <w:pPr>
              <w:spacing w:after="40" w:line="264" w:lineRule="auto"/>
            </w:pPr>
            <w:r>
              <w:rPr>
                <w:sz w:val="21"/>
                <w:szCs w:val="21"/>
              </w:rPr>
              <w:t>Activity Database</w:t>
            </w:r>
          </w:p>
        </w:tc>
        <w:tc>
          <w:tcPr>
            <w:tcW w:w="3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567EC0E4" w14:textId="77777777" w:rsidR="006031D8" w:rsidRDefault="00000000">
            <w:pPr>
              <w:spacing w:after="40" w:line="264" w:lineRule="auto"/>
            </w:pPr>
            <w:r>
              <w:rPr>
                <w:sz w:val="21"/>
                <w:szCs w:val="21"/>
              </w:rPr>
              <w:t>The tasks belonging to an activity, each with defined steps and their associations back to the User Database.</w:t>
            </w:r>
          </w:p>
        </w:tc>
      </w:tr>
      <w:tr w:rsidR="006031D8" w14:paraId="29DFA474" w14:textId="77777777">
        <w:tblPrEx>
          <w:tblCellMar>
            <w:top w:w="0" w:type="dxa"/>
            <w:bottom w:w="0" w:type="dxa"/>
          </w:tblCellMar>
        </w:tblPrEx>
        <w:tc>
          <w:tcPr>
            <w:tcW w:w="1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32BBA9EF" w14:textId="77777777" w:rsidR="006031D8" w:rsidRDefault="00000000">
            <w:pPr>
              <w:spacing w:after="40" w:line="264" w:lineRule="auto"/>
            </w:pPr>
            <w:r>
              <w:rPr>
                <w:sz w:val="21"/>
                <w:szCs w:val="21"/>
              </w:rPr>
              <w:t>Obligation</w:t>
            </w:r>
          </w:p>
        </w:tc>
        <w:tc>
          <w:tcPr>
            <w:tcW w:w="3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6472F9A2" w14:textId="77777777" w:rsidR="006031D8" w:rsidRDefault="00000000">
            <w:pPr>
              <w:spacing w:after="40" w:line="264" w:lineRule="auto"/>
            </w:pPr>
            <w:r>
              <w:rPr>
                <w:sz w:val="21"/>
                <w:szCs w:val="21"/>
              </w:rPr>
              <w:t>A statutory process BMP must complete under the Companies Act, 2013, such as holding an AGM.</w:t>
            </w:r>
          </w:p>
        </w:tc>
      </w:tr>
      <w:tr w:rsidR="006031D8" w14:paraId="0B1A2801" w14:textId="77777777">
        <w:tblPrEx>
          <w:tblCellMar>
            <w:top w:w="0" w:type="dxa"/>
            <w:bottom w:w="0" w:type="dxa"/>
          </w:tblCellMar>
        </w:tblPrEx>
        <w:tc>
          <w:tcPr>
            <w:tcW w:w="1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03B4BF80" w14:textId="77777777" w:rsidR="006031D8" w:rsidRDefault="00000000">
            <w:pPr>
              <w:spacing w:after="40" w:line="264" w:lineRule="auto"/>
            </w:pPr>
            <w:r>
              <w:rPr>
                <w:sz w:val="21"/>
                <w:szCs w:val="21"/>
              </w:rPr>
              <w:t>Task</w:t>
            </w:r>
          </w:p>
        </w:tc>
        <w:tc>
          <w:tcPr>
            <w:tcW w:w="3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48233E4F" w14:textId="77777777" w:rsidR="006031D8" w:rsidRDefault="00000000">
            <w:pPr>
              <w:spacing w:after="40" w:line="264" w:lineRule="auto"/>
            </w:pPr>
            <w:r>
              <w:rPr>
                <w:sz w:val="21"/>
                <w:szCs w:val="21"/>
              </w:rPr>
              <w:t>A concrete step performed against an entity to help meet an obligation, such as preparing a notice.</w:t>
            </w:r>
          </w:p>
        </w:tc>
      </w:tr>
      <w:tr w:rsidR="006031D8" w14:paraId="743554F5" w14:textId="77777777">
        <w:tblPrEx>
          <w:tblCellMar>
            <w:top w:w="0" w:type="dxa"/>
            <w:bottom w:w="0" w:type="dxa"/>
          </w:tblCellMar>
        </w:tblPrEx>
        <w:tc>
          <w:tcPr>
            <w:tcW w:w="1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057D76E6" w14:textId="77777777" w:rsidR="006031D8" w:rsidRDefault="00000000">
            <w:pPr>
              <w:spacing w:after="40" w:line="264" w:lineRule="auto"/>
            </w:pPr>
            <w:r>
              <w:rPr>
                <w:sz w:val="21"/>
                <w:szCs w:val="21"/>
              </w:rPr>
              <w:t>Evidence</w:t>
            </w:r>
          </w:p>
        </w:tc>
        <w:tc>
          <w:tcPr>
            <w:tcW w:w="3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39470270" w14:textId="77777777" w:rsidR="006031D8" w:rsidRDefault="00000000">
            <w:pPr>
              <w:spacing w:after="40" w:line="264" w:lineRule="auto"/>
            </w:pPr>
            <w:r>
              <w:rPr>
                <w:sz w:val="21"/>
                <w:szCs w:val="21"/>
              </w:rPr>
              <w:t>A source document or record that supports a task or entity, such as signed minutes.</w:t>
            </w:r>
          </w:p>
        </w:tc>
      </w:tr>
      <w:tr w:rsidR="006031D8" w14:paraId="15ADBDA2" w14:textId="77777777">
        <w:tblPrEx>
          <w:tblCellMar>
            <w:top w:w="0" w:type="dxa"/>
            <w:bottom w:w="0" w:type="dxa"/>
          </w:tblCellMar>
        </w:tblPrEx>
        <w:tc>
          <w:tcPr>
            <w:tcW w:w="1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3D0925C7" w14:textId="77777777" w:rsidR="006031D8" w:rsidRDefault="00000000">
            <w:pPr>
              <w:spacing w:after="40" w:line="264" w:lineRule="auto"/>
            </w:pPr>
            <w:r>
              <w:rPr>
                <w:sz w:val="21"/>
                <w:szCs w:val="21"/>
              </w:rPr>
              <w:t>MCP (Model Context Protocol)</w:t>
            </w:r>
          </w:p>
        </w:tc>
        <w:tc>
          <w:tcPr>
            <w:tcW w:w="3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22FB16FD" w14:textId="77777777" w:rsidR="006031D8" w:rsidRDefault="00000000">
            <w:pPr>
              <w:spacing w:after="40" w:line="264" w:lineRule="auto"/>
            </w:pPr>
            <w:r>
              <w:rPr>
                <w:sz w:val="21"/>
                <w:szCs w:val="21"/>
              </w:rPr>
              <w:t>A controlled gateway defining exactly what the AI can and cannot do against the database, via approved tools.</w:t>
            </w:r>
          </w:p>
        </w:tc>
      </w:tr>
      <w:tr w:rsidR="006031D8" w14:paraId="7DCAC932" w14:textId="77777777">
        <w:tblPrEx>
          <w:tblCellMar>
            <w:top w:w="0" w:type="dxa"/>
            <w:bottom w:w="0" w:type="dxa"/>
          </w:tblCellMar>
        </w:tblPrEx>
        <w:tc>
          <w:tcPr>
            <w:tcW w:w="1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45509B89" w14:textId="77777777" w:rsidR="006031D8" w:rsidRDefault="00000000">
            <w:pPr>
              <w:spacing w:after="40" w:line="264" w:lineRule="auto"/>
            </w:pPr>
            <w:r>
              <w:rPr>
                <w:sz w:val="21"/>
                <w:szCs w:val="21"/>
              </w:rPr>
              <w:t>RAG (Retrieval-Augmented Generation)</w:t>
            </w:r>
          </w:p>
        </w:tc>
        <w:tc>
          <w:tcPr>
            <w:tcW w:w="3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406BACA3" w14:textId="77777777" w:rsidR="006031D8" w:rsidRDefault="00000000">
            <w:pPr>
              <w:spacing w:after="40" w:line="264" w:lineRule="auto"/>
            </w:pPr>
            <w:r>
              <w:rPr>
                <w:sz w:val="21"/>
                <w:szCs w:val="21"/>
              </w:rPr>
              <w:t>An approach where the AI first retrieves the relevant passages from source documents, then answers from them, so answers are grounded in real sources.</w:t>
            </w:r>
          </w:p>
        </w:tc>
      </w:tr>
      <w:tr w:rsidR="006031D8" w14:paraId="2E81AB80" w14:textId="77777777">
        <w:tblPrEx>
          <w:tblCellMar>
            <w:top w:w="0" w:type="dxa"/>
            <w:bottom w:w="0" w:type="dxa"/>
          </w:tblCellMar>
        </w:tblPrEx>
        <w:tc>
          <w:tcPr>
            <w:tcW w:w="1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67957727" w14:textId="77777777" w:rsidR="006031D8" w:rsidRDefault="00000000">
            <w:pPr>
              <w:spacing w:after="40" w:line="264" w:lineRule="auto"/>
            </w:pPr>
            <w:r>
              <w:rPr>
                <w:sz w:val="21"/>
                <w:szCs w:val="21"/>
              </w:rPr>
              <w:t>Zero Data Retention (ZDR)</w:t>
            </w:r>
          </w:p>
        </w:tc>
        <w:tc>
          <w:tcPr>
            <w:tcW w:w="3500" w:type="pct"/>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6C08F3E6" w14:textId="77777777" w:rsidR="006031D8" w:rsidRDefault="00000000">
            <w:pPr>
              <w:spacing w:after="40" w:line="264" w:lineRule="auto"/>
            </w:pPr>
            <w:r>
              <w:rPr>
                <w:sz w:val="21"/>
                <w:szCs w:val="21"/>
              </w:rPr>
              <w:t>A contractual commitment from an AI provider not to store or train on data beyond processing each request.</w:t>
            </w:r>
          </w:p>
        </w:tc>
      </w:tr>
    </w:tbl>
    <w:p w14:paraId="3F9D2B89" w14:textId="77777777" w:rsidR="003512F9" w:rsidRDefault="003512F9"/>
    <w:sectPr w:rsidR="003512F9">
      <w:footerReference w:type="default" r:id="rId7"/>
      <w:type w:val="continuous"/>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6EA46" w14:textId="77777777" w:rsidR="003512F9" w:rsidRDefault="003512F9">
      <w:r>
        <w:separator/>
      </w:r>
    </w:p>
  </w:endnote>
  <w:endnote w:type="continuationSeparator" w:id="0">
    <w:p w14:paraId="37DB7DBD" w14:textId="77777777" w:rsidR="003512F9" w:rsidRDefault="00351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299A" w14:textId="77777777" w:rsidR="006031D8" w:rsidRDefault="00000000">
    <w:pPr>
      <w:jc w:val="center"/>
    </w:pPr>
    <w:r>
      <w:rPr>
        <w:color w:val="808080"/>
        <w:sz w:val="16"/>
        <w:szCs w:val="16"/>
      </w:rPr>
      <w:t xml:space="preserve">BMP &amp; Co. LLP — Statutory Compliance System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076DC1">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076DC1">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D582F" w14:textId="77777777" w:rsidR="003512F9" w:rsidRDefault="003512F9">
      <w:r>
        <w:separator/>
      </w:r>
    </w:p>
  </w:footnote>
  <w:footnote w:type="continuationSeparator" w:id="0">
    <w:p w14:paraId="3BBAD3CD" w14:textId="77777777" w:rsidR="003512F9" w:rsidRDefault="003512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87225"/>
    <w:multiLevelType w:val="hybridMultilevel"/>
    <w:tmpl w:val="818C7942"/>
    <w:lvl w:ilvl="0" w:tplc="7F36ABD6">
      <w:start w:val="1"/>
      <w:numFmt w:val="bullet"/>
      <w:lvlText w:val="●"/>
      <w:lvlJc w:val="left"/>
      <w:pPr>
        <w:ind w:left="720" w:hanging="360"/>
      </w:pPr>
    </w:lvl>
    <w:lvl w:ilvl="1" w:tplc="C2AE1EA2">
      <w:start w:val="1"/>
      <w:numFmt w:val="bullet"/>
      <w:lvlText w:val="○"/>
      <w:lvlJc w:val="left"/>
      <w:pPr>
        <w:ind w:left="1440" w:hanging="360"/>
      </w:pPr>
    </w:lvl>
    <w:lvl w:ilvl="2" w:tplc="7E76EB00">
      <w:start w:val="1"/>
      <w:numFmt w:val="bullet"/>
      <w:lvlText w:val="■"/>
      <w:lvlJc w:val="left"/>
      <w:pPr>
        <w:ind w:left="2160" w:hanging="360"/>
      </w:pPr>
    </w:lvl>
    <w:lvl w:ilvl="3" w:tplc="0D62BD58">
      <w:start w:val="1"/>
      <w:numFmt w:val="bullet"/>
      <w:lvlText w:val="●"/>
      <w:lvlJc w:val="left"/>
      <w:pPr>
        <w:ind w:left="2880" w:hanging="360"/>
      </w:pPr>
    </w:lvl>
    <w:lvl w:ilvl="4" w:tplc="522AAB3E">
      <w:start w:val="1"/>
      <w:numFmt w:val="bullet"/>
      <w:lvlText w:val="○"/>
      <w:lvlJc w:val="left"/>
      <w:pPr>
        <w:ind w:left="3600" w:hanging="360"/>
      </w:pPr>
    </w:lvl>
    <w:lvl w:ilvl="5" w:tplc="D7DCB8D0">
      <w:start w:val="1"/>
      <w:numFmt w:val="bullet"/>
      <w:lvlText w:val="■"/>
      <w:lvlJc w:val="left"/>
      <w:pPr>
        <w:ind w:left="4320" w:hanging="360"/>
      </w:pPr>
    </w:lvl>
    <w:lvl w:ilvl="6" w:tplc="9A3A333A">
      <w:start w:val="1"/>
      <w:numFmt w:val="bullet"/>
      <w:lvlText w:val="●"/>
      <w:lvlJc w:val="left"/>
      <w:pPr>
        <w:ind w:left="5040" w:hanging="360"/>
      </w:pPr>
    </w:lvl>
    <w:lvl w:ilvl="7" w:tplc="AA62E7C8">
      <w:start w:val="1"/>
      <w:numFmt w:val="bullet"/>
      <w:lvlText w:val="●"/>
      <w:lvlJc w:val="left"/>
      <w:pPr>
        <w:ind w:left="5760" w:hanging="360"/>
      </w:pPr>
    </w:lvl>
    <w:lvl w:ilvl="8" w:tplc="73EEE870">
      <w:start w:val="1"/>
      <w:numFmt w:val="bullet"/>
      <w:lvlText w:val="●"/>
      <w:lvlJc w:val="left"/>
      <w:pPr>
        <w:ind w:left="6480" w:hanging="360"/>
      </w:pPr>
    </w:lvl>
  </w:abstractNum>
  <w:abstractNum w:abstractNumId="1" w15:restartNumberingAfterBreak="0">
    <w:nsid w:val="518054BD"/>
    <w:multiLevelType w:val="hybridMultilevel"/>
    <w:tmpl w:val="1BF27700"/>
    <w:lvl w:ilvl="0" w:tplc="DAC0A30C">
      <w:start w:val="1"/>
      <w:numFmt w:val="bullet"/>
      <w:lvlText w:val="•"/>
      <w:lvlJc w:val="left"/>
      <w:pPr>
        <w:ind w:left="420" w:hanging="260"/>
      </w:pPr>
    </w:lvl>
    <w:lvl w:ilvl="1" w:tplc="A9FC9284">
      <w:start w:val="1"/>
      <w:numFmt w:val="bullet"/>
      <w:lvlText w:val="–"/>
      <w:lvlJc w:val="left"/>
      <w:pPr>
        <w:ind w:left="840" w:hanging="260"/>
      </w:pPr>
    </w:lvl>
    <w:lvl w:ilvl="2" w:tplc="3CA4DC66">
      <w:numFmt w:val="decimal"/>
      <w:lvlText w:val=""/>
      <w:lvlJc w:val="left"/>
    </w:lvl>
    <w:lvl w:ilvl="3" w:tplc="F8E06CA4">
      <w:numFmt w:val="decimal"/>
      <w:lvlText w:val=""/>
      <w:lvlJc w:val="left"/>
    </w:lvl>
    <w:lvl w:ilvl="4" w:tplc="5C90550C">
      <w:numFmt w:val="decimal"/>
      <w:lvlText w:val=""/>
      <w:lvlJc w:val="left"/>
    </w:lvl>
    <w:lvl w:ilvl="5" w:tplc="009A59BE">
      <w:numFmt w:val="decimal"/>
      <w:lvlText w:val=""/>
      <w:lvlJc w:val="left"/>
    </w:lvl>
    <w:lvl w:ilvl="6" w:tplc="67A45916">
      <w:numFmt w:val="decimal"/>
      <w:lvlText w:val=""/>
      <w:lvlJc w:val="left"/>
    </w:lvl>
    <w:lvl w:ilvl="7" w:tplc="19F88FAE">
      <w:numFmt w:val="decimal"/>
      <w:lvlText w:val=""/>
      <w:lvlJc w:val="left"/>
    </w:lvl>
    <w:lvl w:ilvl="8" w:tplc="88CEC170">
      <w:numFmt w:val="decimal"/>
      <w:lvlText w:val=""/>
      <w:lvlJc w:val="left"/>
    </w:lvl>
  </w:abstractNum>
  <w:num w:numId="1" w16cid:durableId="627855831">
    <w:abstractNumId w:val="0"/>
    <w:lvlOverride w:ilvl="0">
      <w:startOverride w:val="1"/>
    </w:lvlOverride>
  </w:num>
  <w:num w:numId="2" w16cid:durableId="917251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1D8"/>
    <w:rsid w:val="00076DC1"/>
    <w:rsid w:val="003512F9"/>
    <w:rsid w:val="006031D8"/>
    <w:rsid w:val="00EF0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D7966"/>
  <w15:docId w15:val="{0ACCA7F7-4CB9-4A49-A6E0-903D06DFB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1489</Words>
  <Characters>8491</Characters>
  <Application>Microsoft Office Word</Application>
  <DocSecurity>0</DocSecurity>
  <Lines>70</Lines>
  <Paragraphs>19</Paragraphs>
  <ScaleCrop>false</ScaleCrop>
  <Company/>
  <LinksUpToDate>false</LinksUpToDate>
  <CharactersWithSpaces>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Anas Mohammed Lalameyan</cp:lastModifiedBy>
  <cp:revision>2</cp:revision>
  <dcterms:created xsi:type="dcterms:W3CDTF">2026-09-23T10:03:00Z</dcterms:created>
  <dcterms:modified xsi:type="dcterms:W3CDTF">2026-09-23T10:32:00Z</dcterms:modified>
</cp:coreProperties>
</file>