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Calibri" w:hAnsi="Calibri"/>
          <w:b/>
          <w:color w:val="555555"/>
          <w:sz w:val="24"/>
        </w:rPr>
        <w:t>A DISSERTATION REPORT ON</w:t>
        <w:br/>
      </w:r>
    </w:p>
    <w:p>
      <w:pPr>
        <w:spacing w:after="360"/>
        <w:jc w:val="center"/>
      </w:pPr>
      <w:r>
        <w:rPr>
          <w:rFonts w:ascii="Calibri" w:hAnsi="Calibri"/>
          <w:b/>
          <w:color w:val="1B5E20"/>
          <w:sz w:val="32"/>
        </w:rPr>
        <w:t>MULTI-CROP PLANT DISEASE DETECTION AND ADVISORY SYSTEM USING DUAL-HEAD VISION TRANSFORMER (DPD ViT-BASE)</w:t>
      </w:r>
    </w:p>
    <w:p>
      <w:pPr>
        <w:spacing w:after="560"/>
        <w:jc w:val="center"/>
      </w:pPr>
      <w:r>
        <w:rPr>
          <w:rFonts w:ascii="Calibri" w:hAnsi="Calibri"/>
          <w:i/>
          <w:color w:val="3C3C3C"/>
          <w:sz w:val="22"/>
        </w:rPr>
        <w:t>Submitted in partial fulfillment of the requirements for the Degree of</w:t>
        <w:br/>
        <w:t>Bachelor of Science in Computer Science (B.Sc. CS)</w:t>
        <w:br/>
      </w:r>
    </w:p>
    <w:tbl>
      <w:tblPr>
        <w:tblW w:type="auto" w:w="0"/>
        <w:jc w:val="center"/>
        <w:tblLook w:firstColumn="1" w:firstRow="1" w:lastColumn="0" w:lastRow="0" w:noHBand="0" w:noVBand="1" w:val="04A0"/>
      </w:tblPr>
      <w:tblGrid>
        <w:gridCol w:w="4334"/>
        <w:gridCol w:w="4334"/>
      </w:tblGrid>
      <w:tr>
        <w:trPr>
          <w:cantSplit/>
        </w:trPr>
        <w:tc>
          <w:tcPr>
            <w:tcW w:type="dxa" w:w="4320"/>
            <w:shd w:fill="F1F8E9"/>
            <w:tcMar>
              <w:top w:w="100" w:type="dxa"/>
              <w:bottom w:w="100" w:type="dxa"/>
              <w:left w:w="120" w:type="dxa"/>
              <w:right w:w="120" w:type="dxa"/>
            </w:tcMar>
          </w:tcPr>
          <w:p>
            <w:pPr>
              <w:spacing w:before="80" w:after="40"/>
              <w:jc w:val="left"/>
            </w:pPr>
            <w:r>
              <w:rPr>
                <w:rFonts w:ascii="Calibri" w:hAnsi="Calibri"/>
                <w:b/>
                <w:color w:val="555555"/>
                <w:sz w:val="19"/>
              </w:rPr>
              <w:t>SUBMITTED BY:</w:t>
            </w:r>
          </w:p>
          <w:p>
            <w:pPr>
              <w:spacing w:before="0" w:after="40"/>
              <w:jc w:val="left"/>
            </w:pPr>
            <w:r>
              <w:rPr>
                <w:rFonts w:ascii="Calibri" w:hAnsi="Calibri"/>
                <w:b/>
                <w:color w:val="1B5E20"/>
                <w:sz w:val="22"/>
              </w:rPr>
              <w:t>ANAS MOINUDDIN SAYED</w:t>
            </w:r>
          </w:p>
          <w:p>
            <w:pPr>
              <w:spacing w:before="0" w:after="20"/>
              <w:jc w:val="left"/>
            </w:pPr>
            <w:r>
              <w:rPr>
                <w:rFonts w:ascii="Calibri" w:hAnsi="Calibri"/>
                <w:color w:val="323232"/>
                <w:sz w:val="19"/>
              </w:rPr>
              <w:t>Roll No: CS-9130</w:t>
            </w:r>
          </w:p>
          <w:p>
            <w:pPr>
              <w:spacing w:before="0" w:after="80"/>
              <w:jc w:val="left"/>
            </w:pPr>
            <w:r>
              <w:rPr>
                <w:rFonts w:ascii="Calibri" w:hAnsi="Calibri"/>
                <w:color w:val="323232"/>
                <w:sz w:val="19"/>
              </w:rPr>
              <w:t>Department of Computer Science</w:t>
            </w:r>
          </w:p>
        </w:tc>
        <w:tc>
          <w:tcPr>
            <w:tcW w:type="dxa" w:w="4320"/>
            <w:shd w:fill="F1F8E9"/>
            <w:tcMar>
              <w:top w:w="100" w:type="dxa"/>
              <w:bottom w:w="100" w:type="dxa"/>
              <w:left w:w="120" w:type="dxa"/>
              <w:right w:w="120" w:type="dxa"/>
            </w:tcMar>
          </w:tcPr>
          <w:p>
            <w:pPr>
              <w:spacing w:before="80" w:after="40"/>
              <w:jc w:val="left"/>
            </w:pPr>
            <w:r>
              <w:rPr>
                <w:rFonts w:ascii="Calibri" w:hAnsi="Calibri"/>
                <w:b/>
                <w:color w:val="555555"/>
                <w:sz w:val="19"/>
              </w:rPr>
              <w:t>UNDER THE GUIDANCE OF:</w:t>
            </w:r>
          </w:p>
          <w:p>
            <w:pPr>
              <w:spacing w:before="0" w:after="40"/>
              <w:jc w:val="left"/>
            </w:pPr>
            <w:r>
              <w:rPr>
                <w:rFonts w:ascii="Calibri" w:hAnsi="Calibri"/>
                <w:b/>
                <w:color w:val="1B5E20"/>
                <w:sz w:val="22"/>
              </w:rPr>
              <w:t>PROF. AARTI GAWAI</w:t>
            </w:r>
          </w:p>
          <w:p>
            <w:pPr>
              <w:spacing w:before="0" w:after="80"/>
              <w:jc w:val="left"/>
            </w:pPr>
            <w:r>
              <w:rPr>
                <w:rFonts w:ascii="Calibri" w:hAnsi="Calibri"/>
                <w:color w:val="323232"/>
                <w:sz w:val="19"/>
              </w:rPr>
              <w:t>Department of Computer Science</w:t>
            </w:r>
          </w:p>
        </w:tc>
      </w:tr>
    </w:tbl>
    <w:p>
      <w:pPr>
        <w:spacing w:before="720" w:after="120"/>
        <w:jc w:val="center"/>
      </w:pPr>
      <w:r>
        <w:rPr>
          <w:rFonts w:ascii="Calibri" w:hAnsi="Calibri"/>
          <w:b/>
          <w:sz w:val="20"/>
        </w:rPr>
        <w:t>Interactive Project Repository &amp; Live Prototype:</w:t>
        <w:br/>
      </w:r>
    </w:p>
    <w:p>
      <w:pPr>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qr_github_repo.png"/>
                    <pic:cNvPicPr/>
                  </pic:nvPicPr>
                  <pic:blipFill>
                    <a:blip r:embed="rId11"/>
                    <a:stretch>
                      <a:fillRect/>
                    </a:stretch>
                  </pic:blipFill>
                  <pic:spPr>
                    <a:xfrm>
                      <a:off x="0" y="0"/>
                      <a:ext cx="1051560" cy="1051560"/>
                    </a:xfrm>
                    <a:prstGeom prst="rect"/>
                  </pic:spPr>
                </pic:pic>
              </a:graphicData>
            </a:graphic>
          </wp:inline>
        </w:drawing>
      </w:r>
    </w:p>
    <w:p>
      <w:pPr>
        <w:spacing w:before="720"/>
        <w:jc w:val="center"/>
      </w:pPr>
      <w:r>
        <w:rPr>
          <w:rFonts w:ascii="Calibri" w:hAnsi="Calibri"/>
          <w:b/>
          <w:color w:val="263238"/>
          <w:sz w:val="22"/>
        </w:rPr>
        <w:t>DEPARTMENT OF COMPUTER SCIENCE</w:t>
        <w:br/>
        <w:t>ACADEMIC YEAR 2026–2027 (SEMESTER 5)</w:t>
      </w:r>
    </w:p>
    <w:p>
      <w:r>
        <w:br w:type="page"/>
      </w:r>
    </w:p>
    <w:p>
      <w:pPr>
        <w:keepNext/>
        <w:spacing w:before="360" w:after="120"/>
        <w:jc w:val="center"/>
      </w:pPr>
      <w:r>
        <w:rPr>
          <w:rFonts w:ascii="Calibri" w:hAnsi="Calibri"/>
          <w:b/>
          <w:color w:val="1B5E20"/>
          <w:sz w:val="30"/>
        </w:rPr>
        <w:t>CERTIFICATE OF AUTHENTICITY</w:t>
      </w:r>
    </w:p>
    <w:p>
      <w:pPr>
        <w:spacing w:before="0" w:after="90" w:line="276" w:lineRule="auto"/>
        <w:jc w:val="both"/>
        <w:widowControl/>
      </w:pPr>
      <w:r>
        <w:rPr>
          <w:rFonts w:ascii="Calibri" w:hAnsi="Calibri"/>
          <w:color w:val="263238"/>
          <w:sz w:val="24"/>
        </w:rPr>
        <w:t>This is to certify that the dissertation report entitled 'Multi-Crop Plant Disease Detection and Advisory System Using Dual-Head Vision Transformer (DPD ViT-Base)' submitted by Anas Moinuddin Sayed (Roll No. CS-9130) is a bonafide record of independent project work carried out under my supervision in partial fulfillment of the requirements for the Degree of Bachelor of Science in Computer Science (B.Sc. CS).</w:t>
      </w:r>
    </w:p>
    <w:p>
      <w:pPr>
        <w:spacing w:before="0" w:after="90" w:line="276" w:lineRule="auto"/>
        <w:jc w:val="both"/>
        <w:widowControl/>
      </w:pPr>
      <w:r>
        <w:rPr>
          <w:rFonts w:ascii="Calibri" w:hAnsi="Calibri"/>
          <w:color w:val="263238"/>
          <w:sz w:val="24"/>
        </w:rPr>
        <w:t>The research methodology, mathematical models, decoupled neural network architectures, and experimental results embodied in this report have been thoroughly evaluated, independently verified across 25 rigorous test cases, and not been submitted to any other University or Institution for the award of any degree, diploma, or fellowship.</w:t>
      </w:r>
    </w:p>
    <w:p>
      <w:pPr>
        <w:spacing w:after="1200"/>
      </w:pPr>
    </w:p>
    <w:tbl>
      <w:tblPr>
        <w:tblW w:type="auto" w:w="0"/>
        <w:jc w:val="center"/>
        <w:tblLook w:firstColumn="1" w:firstRow="1" w:lastColumn="0" w:lastRow="0" w:noHBand="0" w:noVBand="1" w:val="04A0"/>
      </w:tblPr>
      <w:tblGrid>
        <w:gridCol w:w="2890"/>
        <w:gridCol w:w="2890"/>
        <w:gridCol w:w="2890"/>
      </w:tblGrid>
      <w:tr>
        <w:trPr>
          <w:cantSplit/>
        </w:trPr>
        <w:tc>
          <w:tcPr>
            <w:tcW w:type="dxa" w:w="2880"/>
          </w:tcPr>
          <w:p>
            <w:pPr>
              <w:jc w:val="center"/>
            </w:pPr>
            <w:r>
              <w:rPr>
                <w:color w:val="A0A0A0"/>
              </w:rPr>
              <w:t>_____________________</w:t>
              <w:br/>
            </w:r>
            <w:r>
              <w:rPr>
                <w:sz w:val="19"/>
              </w:rPr>
              <w:t>Prof. Aarti Gawai</w:t>
              <w:br/>
              <w:t>Project Guide</w:t>
              <w:br/>
              <w:t>Dept. of Computer Science</w:t>
            </w:r>
          </w:p>
        </w:tc>
        <w:tc>
          <w:tcPr>
            <w:tcW w:type="dxa" w:w="2880"/>
          </w:tcPr>
          <w:p>
            <w:pPr>
              <w:jc w:val="center"/>
            </w:pPr>
            <w:r>
              <w:rPr>
                <w:color w:val="A0A0A0"/>
              </w:rPr>
              <w:t>_____________________</w:t>
              <w:br/>
            </w:r>
            <w:r>
              <w:rPr>
                <w:sz w:val="19"/>
              </w:rPr>
              <w:t>Head of Department</w:t>
              <w:br/>
              <w:t>Dept. of Computer Science</w:t>
            </w:r>
          </w:p>
        </w:tc>
        <w:tc>
          <w:tcPr>
            <w:tcW w:type="dxa" w:w="2880"/>
          </w:tcPr>
          <w:p>
            <w:pPr>
              <w:jc w:val="center"/>
            </w:pPr>
            <w:r>
              <w:rPr>
                <w:color w:val="A0A0A0"/>
              </w:rPr>
              <w:t>_____________________</w:t>
              <w:br/>
            </w:r>
            <w:r>
              <w:rPr>
                <w:sz w:val="19"/>
              </w:rPr>
              <w:t>Principal / Dean</w:t>
              <w:br/>
              <w:t>College / Institute</w:t>
            </w:r>
          </w:p>
        </w:tc>
      </w:tr>
    </w:tbl>
    <w:p>
      <w:r>
        <w:br w:type="page"/>
      </w:r>
    </w:p>
    <w:p>
      <w:pPr>
        <w:keepNext/>
        <w:spacing w:before="360" w:after="120"/>
        <w:jc w:val="center"/>
      </w:pPr>
      <w:r>
        <w:rPr>
          <w:rFonts w:ascii="Calibri" w:hAnsi="Calibri"/>
          <w:b/>
          <w:color w:val="1B5E20"/>
          <w:sz w:val="30"/>
        </w:rPr>
        <w:t>CANDIDATE'S DECLARATION</w:t>
      </w:r>
    </w:p>
    <w:p>
      <w:pPr>
        <w:spacing w:before="0" w:after="90" w:line="276" w:lineRule="auto"/>
        <w:jc w:val="both"/>
        <w:widowControl/>
      </w:pPr>
      <w:r>
        <w:rPr>
          <w:rFonts w:ascii="Calibri" w:hAnsi="Calibri"/>
          <w:color w:val="263238"/>
          <w:sz w:val="24"/>
        </w:rPr>
        <w:t>I hereby declare that the project work presented in this dissertation entitled 'Multi-Crop Plant Disease Detection and Advisory System Using Dual-Head Vision Transformer (DPD ViT-Base)' is entirely my own original work conducted under the guidance of Prof. Aarti Gawai, Department of Computer Science.</w:t>
      </w:r>
    </w:p>
    <w:p>
      <w:pPr>
        <w:spacing w:before="0" w:after="90" w:line="276" w:lineRule="auto"/>
        <w:jc w:val="both"/>
        <w:widowControl/>
      </w:pPr>
      <w:r>
        <w:rPr>
          <w:rFonts w:ascii="Calibri" w:hAnsi="Calibri"/>
          <w:color w:val="263238"/>
          <w:sz w:val="24"/>
        </w:rPr>
        <w:t>I have adhered to all academic ethics, professional guidelines, and principles of scientific integrity. All source code implementations, neural network training pipelines, mathematical calibrations, architectural schemas, dataset annotations, and testing frameworks referenced from external literature, benchmark repositories, or open-source libraries have been properly cited and acknowledged.</w:t>
      </w:r>
    </w:p>
    <w:p>
      <w:pPr>
        <w:spacing w:before="0" w:after="90" w:line="276" w:lineRule="auto"/>
        <w:jc w:val="both"/>
        <w:widowControl/>
      </w:pPr>
      <w:r>
        <w:rPr>
          <w:rFonts w:ascii="Calibri" w:hAnsi="Calibri"/>
          <w:color w:val="263238"/>
          <w:sz w:val="24"/>
        </w:rPr>
        <w:t>I further declare that this work contains zero fabricated data, zero unauthorized software engineering claims, and represents a faithful, reproducible record of my final year capstone dissertation.</w:t>
      </w:r>
    </w:p>
    <w:p>
      <w:pPr>
        <w:spacing w:before="1400"/>
        <w:jc w:val="right"/>
      </w:pPr>
      <w:r>
        <w:rPr>
          <w:rFonts w:ascii="Calibri" w:hAnsi="Calibri"/>
          <w:b/>
          <w:sz w:val="22"/>
        </w:rPr>
        <w:t>_____________________</w:t>
        <w:br/>
        <w:t>ANAS MOINUDDIN SAYED</w:t>
        <w:br/>
        <w:t>Roll No. CS-9130</w:t>
        <w:br/>
        <w:t>B.Sc. Computer Science (Semester 5)</w:t>
      </w:r>
    </w:p>
    <w:p>
      <w:r>
        <w:br w:type="page"/>
      </w:r>
    </w:p>
    <w:p>
      <w:pPr>
        <w:keepNext/>
        <w:spacing w:before="360" w:after="120"/>
        <w:jc w:val="center"/>
      </w:pPr>
      <w:r>
        <w:rPr>
          <w:rFonts w:ascii="Calibri" w:hAnsi="Calibri"/>
          <w:b/>
          <w:color w:val="1B5E20"/>
          <w:sz w:val="30"/>
        </w:rPr>
        <w:t>ACKNOWLEDGEMENTS</w:t>
      </w:r>
    </w:p>
    <w:p>
      <w:pPr>
        <w:spacing w:before="0" w:after="90" w:line="276" w:lineRule="auto"/>
        <w:jc w:val="both"/>
        <w:widowControl/>
      </w:pPr>
      <w:r>
        <w:rPr>
          <w:rFonts w:ascii="Calibri" w:hAnsi="Calibri"/>
          <w:color w:val="263238"/>
          <w:sz w:val="24"/>
        </w:rPr>
        <w:t>The completion of this dissertation report marks a significant academic milestone, and I would like to express my deepest gratitude to all individuals and organizations who contributed their valuable guidance, encouragement, and technical resources throughout the research and development phases of this project.</w:t>
      </w:r>
    </w:p>
    <w:p>
      <w:pPr>
        <w:spacing w:before="0" w:after="90" w:line="276" w:lineRule="auto"/>
        <w:jc w:val="both"/>
        <w:widowControl/>
      </w:pPr>
      <w:r>
        <w:rPr>
          <w:rFonts w:ascii="Calibri" w:hAnsi="Calibri"/>
          <w:color w:val="263238"/>
          <w:sz w:val="24"/>
        </w:rPr>
        <w:t>First and foremost, I express my profound gratitude to my project guide, Prof. Aarti Gawai, Department of Computer Science, for her invaluable mentorship, constructive technical critiques, and steadfast encouragement. Her profound insights into software architecture, rigorous engineering principles, and academic writing provided the essential foundation for structuring this dissertation.</w:t>
      </w:r>
    </w:p>
    <w:p>
      <w:pPr>
        <w:spacing w:before="0" w:after="90" w:line="276" w:lineRule="auto"/>
        <w:jc w:val="both"/>
        <w:widowControl/>
      </w:pPr>
      <w:r>
        <w:rPr>
          <w:rFonts w:ascii="Calibri" w:hAnsi="Calibri"/>
          <w:color w:val="263238"/>
          <w:sz w:val="24"/>
        </w:rPr>
        <w:t>I extend my sincere thanks to the Head of the Department of Computer Science and all faculty members for fostering an intellectually stimulating environment and providing access to computational infrastructure and laboratory facilities essential for executing deep learning experiments.</w:t>
      </w:r>
    </w:p>
    <w:p>
      <w:pPr>
        <w:spacing w:before="0" w:after="90" w:line="276" w:lineRule="auto"/>
        <w:jc w:val="both"/>
        <w:widowControl/>
      </w:pPr>
      <w:r>
        <w:rPr>
          <w:rFonts w:ascii="Calibri" w:hAnsi="Calibri"/>
          <w:color w:val="263238"/>
          <w:sz w:val="24"/>
        </w:rPr>
        <w:t>I am equally grateful to the open-source artificial intelligence, computer vision, and agricultural research communities. The open availability of benchmark repositories—notably PyTorch, Ross Wightman's Timm library, FastAPI ASGI framework, and the open-access PlantVillage and PlantDoc datasets—has been instrumental in driving the empirical validation of our dual-head vision transformer.</w:t>
      </w:r>
    </w:p>
    <w:p>
      <w:pPr>
        <w:spacing w:before="0" w:after="90" w:line="276" w:lineRule="auto"/>
        <w:jc w:val="both"/>
        <w:widowControl/>
      </w:pPr>
      <w:r>
        <w:rPr>
          <w:rFonts w:ascii="Calibri" w:hAnsi="Calibri"/>
          <w:color w:val="263238"/>
          <w:sz w:val="24"/>
        </w:rPr>
        <w:t>Finally, I express my heartfelt gratitude to my family and peers for their continuous moral support, patience, and understanding during the intensive hours devoted to model benchmarking, system optimization, and dissertation preparation.</w:t>
      </w:r>
    </w:p>
    <w:p>
      <w:pPr>
        <w:spacing w:before="800"/>
        <w:jc w:val="right"/>
      </w:pPr>
      <w:r>
        <w:rPr>
          <w:b/>
        </w:rPr>
        <w:t>ANAS MOINUDDIN SAYED</w:t>
        <w:br/>
        <w:t>Roll No. CS-9130</w:t>
      </w:r>
    </w:p>
    <w:p>
      <w:r>
        <w:br w:type="page"/>
      </w:r>
    </w:p>
    <w:p>
      <w:pPr>
        <w:keepNext/>
        <w:spacing w:before="360" w:after="120"/>
        <w:jc w:val="center"/>
      </w:pPr>
      <w:r>
        <w:rPr>
          <w:rFonts w:ascii="Calibri" w:hAnsi="Calibri"/>
          <w:b/>
          <w:color w:val="1B5E20"/>
          <w:sz w:val="30"/>
        </w:rPr>
        <w:t>ABSTRACT</w:t>
      </w:r>
    </w:p>
    <w:p>
      <w:pPr>
        <w:spacing w:before="0" w:after="90" w:line="276" w:lineRule="auto"/>
        <w:jc w:val="both"/>
        <w:widowControl/>
      </w:pPr>
      <w:r>
        <w:rPr>
          <w:rFonts w:ascii="Calibri" w:hAnsi="Calibri"/>
          <w:color w:val="263238"/>
          <w:sz w:val="24"/>
        </w:rPr>
        <w:t>Foliar plant diseases account for an estimated 20% to 40% loss in global agricultural crop yields annually, posing severe threats to international food security, rural economies, and smallholder farmer livelihoods. While deep learning has demonstrated remarkable computer vision capabilities in plant pathology over the past decade, prevailing state-of-the-art implementations suffer from three critical deployment bottlenecks: (1) restriction to single-crop narrow classifications (e.g., standard PlantVillage benchmarks restricted to 14 crops and 38 laboratory-isolated classes), (2) uncalibrated probability estimates that output high confidence on non-leaf background objects, and (3) a complete disconnect between computer vision classification outputs and actionable agronomic treatment recommendations.</w:t>
      </w:r>
    </w:p>
    <w:p>
      <w:pPr>
        <w:spacing w:before="0" w:after="90" w:line="276" w:lineRule="auto"/>
        <w:jc w:val="both"/>
        <w:widowControl/>
      </w:pPr>
      <w:r>
        <w:rPr>
          <w:rFonts w:ascii="Calibri" w:hAnsi="Calibri"/>
          <w:color w:val="263238"/>
          <w:sz w:val="24"/>
        </w:rPr>
        <w:t>To overcome these fundamental limitations, this dissertation presents the design, mathematical calibration, full-stack implementation, and empirical verification of a production-grade Multi-Crop Plant Disease Detection and Decision Support System. At its computational core, the system utilizes a Vision Transformer (DPD ViT-Base/16) backbone with a 768-dimensional latent space driving two simultaneous linear classification heads: a 55-class Plant Head and a 175-class Disease Head, structured across a biologically verified taxonomy of 333 supported crop-disease pairs.</w:t>
      </w:r>
    </w:p>
    <w:p>
      <w:pPr>
        <w:spacing w:before="0" w:after="90" w:line="276" w:lineRule="auto"/>
        <w:jc w:val="both"/>
        <w:widowControl/>
      </w:pPr>
      <w:r>
        <w:rPr>
          <w:rFonts w:ascii="Calibri" w:hAnsi="Calibri"/>
          <w:color w:val="263238"/>
          <w:sz w:val="24"/>
        </w:rPr>
        <w:t>To guarantee diagnostic integrity, the system implements a calibrated geometric-mean joint likelihood confidence formula: Conf = sqrt(max(0, P_P * P_D)) * 100, which provably guarantees strict monotonic probability ordering across Top-3 differential candidate diagnoses. Furthermore, an Out-Of-Distribution (OOD) gating threshold at 40.0% confidence actively filters non-crop artifacts and blurry inputs, preventing catastrophic false-positive pesticide prescriptions. Every verified diagnosis resolves into an actionable 5-pillar agronomic prescription (symptoms, cause, organic remedies, targeted chemical dosages, and cultural prevention) and generates an official clinical PDF report via ReportLab.</w:t>
      </w:r>
    </w:p>
    <w:p>
      <w:pPr>
        <w:spacing w:before="0" w:after="90" w:line="276" w:lineRule="auto"/>
        <w:jc w:val="both"/>
        <w:widowControl/>
      </w:pPr>
      <w:r>
        <w:rPr>
          <w:rFonts w:ascii="Calibri" w:hAnsi="Calibri"/>
          <w:color w:val="263238"/>
          <w:sz w:val="24"/>
        </w:rPr>
        <w:t>The complete platform is engineered using asynchronous FastAPI, PyTorch 2.0+, and SQLite with Write-Ahead Logging (WAL) concurrency, fortified with IDOR authorization barriers and MIME payload validation. Automated verification across 25 exhaustive test cases spanning tensor invariants, taxonomy contracts, and security audits confirms a 100% pass rate, delivering an enterprise-ready, mobile-accessible diagnostic solution for precision agriculture.</w:t>
      </w:r>
    </w:p>
    <w:p>
      <w:pPr>
        <w:spacing w:before="280"/>
      </w:pPr>
      <w:r>
        <w:rPr>
          <w:b/>
          <w:color w:val="1B5E20"/>
        </w:rPr>
        <w:t xml:space="preserve">Keywords: </w:t>
      </w:r>
      <w:r>
        <w:t>Vision Transformer (ViT), Dual-Head Classification, Plant Pathology, Geometric Confidence Calibration, Out-of-Distribution Gating, 5-Pillar Agronomic Advisory, Precision Agriculture, FastAPI, Write-Ahead Logging.</w:t>
      </w:r>
    </w:p>
    <w:p>
      <w:r>
        <w:br w:type="page"/>
      </w:r>
    </w:p>
    <w:p>
      <w:pPr>
        <w:keepNext/>
        <w:spacing w:before="360" w:after="120"/>
        <w:jc w:val="center"/>
      </w:pPr>
      <w:r>
        <w:rPr>
          <w:rFonts w:ascii="Calibri" w:hAnsi="Calibri"/>
          <w:b/>
          <w:color w:val="1B5E20"/>
          <w:sz w:val="30"/>
        </w:rPr>
        <w:t>TABLE OF CONTENTS</w:t>
      </w:r>
    </w:p>
    <w:p>
      <w:pPr>
        <w:spacing w:before="20" w:after="40"/>
      </w:pPr>
      <w:r>
        <w:rPr>
          <w:rFonts w:ascii="Calibri" w:hAnsi="Calibri"/>
          <w:b/>
          <w:color w:val="1B5E20"/>
          <w:sz w:val="20"/>
        </w:rPr>
        <w:t>CERTIFICATE OF AUTHENTICITY</w:t>
      </w:r>
    </w:p>
    <w:p>
      <w:pPr>
        <w:spacing w:before="20" w:after="40"/>
      </w:pPr>
      <w:r>
        <w:rPr>
          <w:rFonts w:ascii="Calibri" w:hAnsi="Calibri"/>
          <w:color w:val="37474F"/>
          <w:sz w:val="20"/>
        </w:rPr>
        <w:t>CANDIDATE'S DECLARATION</w:t>
      </w:r>
    </w:p>
    <w:p>
      <w:pPr>
        <w:spacing w:before="20" w:after="40"/>
      </w:pPr>
      <w:r>
        <w:rPr>
          <w:rFonts w:ascii="Calibri" w:hAnsi="Calibri"/>
          <w:color w:val="37474F"/>
          <w:sz w:val="20"/>
        </w:rPr>
        <w:t>ACKNOWLEDGEMENTS</w:t>
      </w:r>
    </w:p>
    <w:p>
      <w:pPr>
        <w:spacing w:before="20" w:after="40"/>
      </w:pPr>
      <w:r>
        <w:rPr>
          <w:rFonts w:ascii="Calibri" w:hAnsi="Calibri"/>
          <w:color w:val="37474F"/>
          <w:sz w:val="20"/>
        </w:rPr>
        <w:t>ABSTRACT &amp; KEYWORDS</w:t>
      </w:r>
    </w:p>
    <w:p>
      <w:pPr>
        <w:spacing w:before="20" w:after="40"/>
      </w:pPr>
      <w:r>
        <w:rPr>
          <w:rFonts w:ascii="Calibri" w:hAnsi="Calibri"/>
          <w:color w:val="37474F"/>
          <w:sz w:val="20"/>
        </w:rPr>
        <w:t>LIST OF FIGURES</w:t>
      </w:r>
    </w:p>
    <w:p>
      <w:pPr>
        <w:spacing w:before="20" w:after="40"/>
      </w:pPr>
      <w:r>
        <w:rPr>
          <w:rFonts w:ascii="Calibri" w:hAnsi="Calibri"/>
          <w:color w:val="37474F"/>
          <w:sz w:val="20"/>
        </w:rPr>
        <w:t>LIST OF TABLES</w:t>
      </w:r>
    </w:p>
    <w:p>
      <w:pPr>
        <w:spacing w:before="20" w:after="40"/>
      </w:pPr>
      <w:r>
        <w:rPr>
          <w:rFonts w:ascii="Calibri" w:hAnsi="Calibri"/>
          <w:color w:val="37474F"/>
          <w:sz w:val="20"/>
        </w:rPr>
        <w:t>LIST OF ABBREVIATIONS</w:t>
      </w:r>
    </w:p>
    <w:p>
      <w:pPr>
        <w:spacing w:before="20" w:after="40"/>
      </w:pPr>
      <w:r>
        <w:rPr>
          <w:rFonts w:ascii="Calibri" w:hAnsi="Calibri"/>
          <w:b/>
          <w:color w:val="1B5E20"/>
          <w:sz w:val="20"/>
        </w:rPr>
        <w:t>CHAPTER 1: INTRODUCTION &amp; PROBLEM DEFINITION</w:t>
      </w:r>
    </w:p>
    <w:p>
      <w:pPr>
        <w:spacing w:before="20" w:after="40"/>
      </w:pPr>
      <w:r>
        <w:rPr>
          <w:rFonts w:ascii="Calibri" w:hAnsi="Calibri"/>
          <w:color w:val="37474F"/>
          <w:sz w:val="20"/>
        </w:rPr>
        <w:t xml:space="preserve">    1.1 Agricultural Background &amp; Economic Impact of Foliar Pathogens</w:t>
      </w:r>
    </w:p>
    <w:p>
      <w:pPr>
        <w:spacing w:before="20" w:after="40"/>
      </w:pPr>
      <w:r>
        <w:rPr>
          <w:rFonts w:ascii="Calibri" w:hAnsi="Calibri"/>
          <w:color w:val="37474F"/>
          <w:sz w:val="20"/>
        </w:rPr>
        <w:t xml:space="preserve">    1.2 Existing Diagnostic Paradigms &amp; Their Bottlenecks</w:t>
      </w:r>
    </w:p>
    <w:p>
      <w:pPr>
        <w:spacing w:before="20" w:after="40"/>
      </w:pPr>
      <w:r>
        <w:rPr>
          <w:rFonts w:ascii="Calibri" w:hAnsi="Calibri"/>
          <w:color w:val="37474F"/>
          <w:sz w:val="20"/>
        </w:rPr>
        <w:t xml:space="preserve">    1.3 Computer Vision in Precision Agriculture &amp; CNN Inductive Bias</w:t>
      </w:r>
    </w:p>
    <w:p>
      <w:pPr>
        <w:spacing w:before="20" w:after="40"/>
      </w:pPr>
      <w:r>
        <w:rPr>
          <w:rFonts w:ascii="Calibri" w:hAnsi="Calibri"/>
          <w:color w:val="37474F"/>
          <w:sz w:val="20"/>
        </w:rPr>
        <w:t xml:space="preserve">    1.4 Motivation for Vision Transformers &amp; Decoupled Dual-Head Modeling</w:t>
      </w:r>
    </w:p>
    <w:p>
      <w:pPr>
        <w:spacing w:before="20" w:after="40"/>
      </w:pPr>
      <w:r>
        <w:rPr>
          <w:rFonts w:ascii="Calibri" w:hAnsi="Calibri"/>
          <w:color w:val="37474F"/>
          <w:sz w:val="20"/>
        </w:rPr>
        <w:t xml:space="preserve">    1.5 Problem Statement &amp; Research Objectives</w:t>
      </w:r>
    </w:p>
    <w:p>
      <w:pPr>
        <w:spacing w:before="20" w:after="40"/>
      </w:pPr>
      <w:r>
        <w:rPr>
          <w:rFonts w:ascii="Calibri" w:hAnsi="Calibri"/>
          <w:color w:val="37474F"/>
          <w:sz w:val="20"/>
        </w:rPr>
        <w:t xml:space="preserve">    1.6 Scope &amp; Limitations of the Dissertation</w:t>
      </w:r>
    </w:p>
    <w:p>
      <w:pPr>
        <w:spacing w:before="20" w:after="40"/>
      </w:pPr>
      <w:r>
        <w:rPr>
          <w:rFonts w:ascii="Calibri" w:hAnsi="Calibri"/>
          <w:color w:val="37474F"/>
          <w:sz w:val="20"/>
        </w:rPr>
        <w:t xml:space="preserve">    1.7 Organization of the Dissertation</w:t>
      </w:r>
    </w:p>
    <w:p>
      <w:pPr>
        <w:spacing w:before="20" w:after="40"/>
      </w:pPr>
      <w:r>
        <w:rPr>
          <w:rFonts w:ascii="Calibri" w:hAnsi="Calibri"/>
          <w:b/>
          <w:color w:val="1B5E20"/>
          <w:sz w:val="20"/>
        </w:rPr>
        <w:t>CHAPTER 2: LITERATURE SURVEY &amp; THEORETICAL FOUNDATIONS</w:t>
      </w:r>
    </w:p>
    <w:p>
      <w:pPr>
        <w:spacing w:before="20" w:after="40"/>
      </w:pPr>
      <w:r>
        <w:rPr>
          <w:rFonts w:ascii="Calibri" w:hAnsi="Calibri"/>
          <w:color w:val="37474F"/>
          <w:sz w:val="20"/>
        </w:rPr>
        <w:t xml:space="preserve">    2.1 Deep Learning Architectures in Plant Disease Classification</w:t>
      </w:r>
    </w:p>
    <w:p>
      <w:pPr>
        <w:spacing w:before="20" w:after="40"/>
      </w:pPr>
      <w:r>
        <w:rPr>
          <w:rFonts w:ascii="Calibri" w:hAnsi="Calibri"/>
          <w:color w:val="37474F"/>
          <w:sz w:val="20"/>
        </w:rPr>
        <w:t xml:space="preserve">    2.2 Mathematical Foundations of Vision Transformers (ViT)</w:t>
      </w:r>
    </w:p>
    <w:p>
      <w:pPr>
        <w:spacing w:before="20" w:after="40"/>
      </w:pPr>
      <w:r>
        <w:rPr>
          <w:rFonts w:ascii="Calibri" w:hAnsi="Calibri"/>
          <w:color w:val="37474F"/>
          <w:sz w:val="20"/>
        </w:rPr>
        <w:t xml:space="preserve">    2.3 Decoupled Dual-Head Architectures vs. Monolithic Classifiers</w:t>
      </w:r>
    </w:p>
    <w:p>
      <w:pPr>
        <w:spacing w:before="20" w:after="40"/>
      </w:pPr>
      <w:r>
        <w:rPr>
          <w:rFonts w:ascii="Calibri" w:hAnsi="Calibri"/>
          <w:color w:val="37474F"/>
          <w:sz w:val="20"/>
        </w:rPr>
        <w:t xml:space="preserve">    2.4 Agricultural Advisory Systems &amp; Integrated Pest Management</w:t>
      </w:r>
    </w:p>
    <w:p>
      <w:pPr>
        <w:spacing w:before="20" w:after="40"/>
      </w:pPr>
      <w:r>
        <w:rPr>
          <w:rFonts w:ascii="Calibri" w:hAnsi="Calibri"/>
          <w:color w:val="37474F"/>
          <w:sz w:val="20"/>
        </w:rPr>
        <w:t xml:space="preserve">    2.5 Comprehensive Literature Review Matrix (12 Benchmark Papers)</w:t>
      </w:r>
    </w:p>
    <w:p>
      <w:pPr>
        <w:spacing w:before="20" w:after="40"/>
      </w:pPr>
      <w:r>
        <w:rPr>
          <w:rFonts w:ascii="Calibri" w:hAnsi="Calibri"/>
          <w:color w:val="37474F"/>
          <w:sz w:val="20"/>
        </w:rPr>
        <w:t xml:space="preserve">    2.6 Identified Research Gaps &amp; Proposed Technical Novelties</w:t>
      </w:r>
    </w:p>
    <w:p>
      <w:pPr>
        <w:spacing w:before="20" w:after="40"/>
      </w:pPr>
      <w:r>
        <w:rPr>
          <w:rFonts w:ascii="Calibri" w:hAnsi="Calibri"/>
          <w:b/>
          <w:color w:val="1B5E20"/>
          <w:sz w:val="20"/>
        </w:rPr>
        <w:t>CHAPTER 3: SOFTWARE REQUIREMENTS SPECIFICATION (IEEE 830 SRS)</w:t>
      </w:r>
    </w:p>
    <w:p>
      <w:pPr>
        <w:spacing w:before="20" w:after="40"/>
      </w:pPr>
      <w:r>
        <w:rPr>
          <w:rFonts w:ascii="Calibri" w:hAnsi="Calibri"/>
          <w:color w:val="37474F"/>
          <w:sz w:val="20"/>
        </w:rPr>
        <w:t xml:space="preserve">    3.1 Overview &amp; Conformance to IEEE 830 SRS Standard</w:t>
      </w:r>
    </w:p>
    <w:p>
      <w:pPr>
        <w:spacing w:before="20" w:after="40"/>
      </w:pPr>
      <w:r>
        <w:rPr>
          <w:rFonts w:ascii="Calibri" w:hAnsi="Calibri"/>
          <w:color w:val="37474F"/>
          <w:sz w:val="20"/>
        </w:rPr>
        <w:t xml:space="preserve">    3.2 User Characteristics &amp; Operational Environment</w:t>
      </w:r>
    </w:p>
    <w:p>
      <w:pPr>
        <w:spacing w:before="20" w:after="40"/>
      </w:pPr>
      <w:r>
        <w:rPr>
          <w:rFonts w:ascii="Calibri" w:hAnsi="Calibri"/>
          <w:color w:val="37474F"/>
          <w:sz w:val="20"/>
        </w:rPr>
        <w:t xml:space="preserve">    3.3 Functional Requirements Specification (FR-01 to FR-12)</w:t>
      </w:r>
    </w:p>
    <w:p>
      <w:pPr>
        <w:spacing w:before="20" w:after="40"/>
      </w:pPr>
      <w:r>
        <w:rPr>
          <w:rFonts w:ascii="Calibri" w:hAnsi="Calibri"/>
          <w:color w:val="37474F"/>
          <w:sz w:val="20"/>
        </w:rPr>
        <w:t xml:space="preserve">    3.4 Non-Functional Requirements Specification (NFR-01 to NFR-10)</w:t>
      </w:r>
    </w:p>
    <w:p>
      <w:pPr>
        <w:spacing w:before="20" w:after="40"/>
      </w:pPr>
      <w:r>
        <w:rPr>
          <w:rFonts w:ascii="Calibri" w:hAnsi="Calibri"/>
          <w:color w:val="37474F"/>
          <w:sz w:val="20"/>
        </w:rPr>
        <w:t xml:space="preserve">    3.5 System Hardware &amp; Infrastructure Specifications</w:t>
      </w:r>
    </w:p>
    <w:p>
      <w:pPr>
        <w:spacing w:before="20" w:after="40"/>
      </w:pPr>
      <w:r>
        <w:rPr>
          <w:rFonts w:ascii="Calibri" w:hAnsi="Calibri"/>
          <w:color w:val="37474F"/>
          <w:sz w:val="20"/>
        </w:rPr>
        <w:t xml:space="preserve">    3.6 Software Stack &amp; Runtime Dependency Specifications</w:t>
      </w:r>
    </w:p>
    <w:p>
      <w:pPr>
        <w:spacing w:before="20" w:after="40"/>
      </w:pPr>
      <w:r>
        <w:rPr>
          <w:rFonts w:ascii="Calibri" w:hAnsi="Calibri"/>
          <w:color w:val="37474F"/>
          <w:sz w:val="20"/>
        </w:rPr>
        <w:t xml:space="preserve">    3.7 Comprehensive Feasibility Study</w:t>
      </w:r>
    </w:p>
    <w:p>
      <w:pPr>
        <w:spacing w:before="20" w:after="40"/>
      </w:pPr>
      <w:r>
        <w:rPr>
          <w:rFonts w:ascii="Calibri" w:hAnsi="Calibri"/>
          <w:b/>
          <w:color w:val="1B5E20"/>
          <w:sz w:val="20"/>
        </w:rPr>
        <w:t>CHAPTER 4: SYSTEM DESIGN AND ARCHITECTURE</w:t>
      </w:r>
    </w:p>
    <w:p>
      <w:pPr>
        <w:spacing w:before="20" w:after="40"/>
      </w:pPr>
      <w:r>
        <w:rPr>
          <w:rFonts w:ascii="Calibri" w:hAnsi="Calibri"/>
          <w:color w:val="37474F"/>
          <w:sz w:val="20"/>
        </w:rPr>
        <w:t xml:space="preserve">    4.1 High-Level Layered System Architecture (Archify System View)</w:t>
      </w:r>
    </w:p>
    <w:p>
      <w:pPr>
        <w:spacing w:before="20" w:after="40"/>
      </w:pPr>
      <w:r>
        <w:rPr>
          <w:rFonts w:ascii="Calibri" w:hAnsi="Calibri"/>
          <w:color w:val="37474F"/>
          <w:sz w:val="20"/>
        </w:rPr>
        <w:t xml:space="preserve">    4.2 End-to-End Clinical Diagnostic Workflow (Archify Clinical View)</w:t>
      </w:r>
    </w:p>
    <w:p>
      <w:pPr>
        <w:spacing w:before="20" w:after="40"/>
      </w:pPr>
      <w:r>
        <w:rPr>
          <w:rFonts w:ascii="Calibri" w:hAnsi="Calibri"/>
          <w:color w:val="37474F"/>
          <w:sz w:val="20"/>
        </w:rPr>
        <w:t xml:space="preserve">    4.3 Unified Modeling Language (UML) Structural &amp; Behavioral Modeling</w:t>
      </w:r>
    </w:p>
    <w:p>
      <w:pPr>
        <w:spacing w:before="20" w:after="40"/>
      </w:pPr>
      <w:r>
        <w:rPr>
          <w:rFonts w:ascii="Calibri" w:hAnsi="Calibri"/>
          <w:color w:val="37474F"/>
          <w:sz w:val="20"/>
        </w:rPr>
        <w:t xml:space="preserve">        4.3.1 UML Use Case Modeling &amp; 4 Formal Use Case Specifications</w:t>
      </w:r>
    </w:p>
    <w:p>
      <w:pPr>
        <w:spacing w:before="20" w:after="40"/>
      </w:pPr>
      <w:r>
        <w:rPr>
          <w:rFonts w:ascii="Calibri" w:hAnsi="Calibri"/>
          <w:color w:val="37474F"/>
          <w:sz w:val="20"/>
        </w:rPr>
        <w:t xml:space="preserve">        4.3.2 UML Class Diagram &amp; Object-Oriented Component Architecture</w:t>
      </w:r>
    </w:p>
    <w:p>
      <w:pPr>
        <w:spacing w:before="20" w:after="40"/>
      </w:pPr>
      <w:r>
        <w:rPr>
          <w:rFonts w:ascii="Calibri" w:hAnsi="Calibri"/>
          <w:color w:val="37474F"/>
          <w:sz w:val="20"/>
        </w:rPr>
        <w:t xml:space="preserve">        4.3.3 UML Sequence Diagram &amp; Diagnostic Asynchronous Lifecycle</w:t>
      </w:r>
    </w:p>
    <w:p>
      <w:pPr>
        <w:spacing w:before="20" w:after="40"/>
      </w:pPr>
      <w:r>
        <w:rPr>
          <w:rFonts w:ascii="Calibri" w:hAnsi="Calibri"/>
          <w:color w:val="37474F"/>
          <w:sz w:val="20"/>
        </w:rPr>
        <w:t xml:space="preserve">        4.3.4 UML Activity Diagram &amp; Decision Branches</w:t>
      </w:r>
    </w:p>
    <w:p>
      <w:pPr>
        <w:spacing w:before="20" w:after="40"/>
      </w:pPr>
      <w:r>
        <w:rPr>
          <w:rFonts w:ascii="Calibri" w:hAnsi="Calibri"/>
          <w:color w:val="37474F"/>
          <w:sz w:val="20"/>
        </w:rPr>
        <w:t xml:space="preserve">        4.3.5 UML State Machine Diagram &amp; Prediction Record Lifecycle</w:t>
      </w:r>
    </w:p>
    <w:p>
      <w:pPr>
        <w:spacing w:before="20" w:after="40"/>
      </w:pPr>
      <w:r>
        <w:rPr>
          <w:rFonts w:ascii="Calibri" w:hAnsi="Calibri"/>
          <w:color w:val="37474F"/>
          <w:sz w:val="20"/>
        </w:rPr>
        <w:t xml:space="preserve">    4.4 Data Flow Diagrams (DFD Levels 0, 1, and 2)</w:t>
      </w:r>
    </w:p>
    <w:p>
      <w:pPr>
        <w:spacing w:before="20" w:after="40"/>
      </w:pPr>
      <w:r>
        <w:rPr>
          <w:rFonts w:ascii="Calibri" w:hAnsi="Calibri"/>
          <w:color w:val="37474F"/>
          <w:sz w:val="20"/>
        </w:rPr>
        <w:t xml:space="preserve">    4.5 Relational Database Design &amp; Schema Architecture</w:t>
      </w:r>
    </w:p>
    <w:p>
      <w:pPr>
        <w:spacing w:before="20" w:after="40"/>
      </w:pPr>
      <w:r>
        <w:rPr>
          <w:rFonts w:ascii="Calibri" w:hAnsi="Calibri"/>
          <w:color w:val="37474F"/>
          <w:sz w:val="20"/>
        </w:rPr>
        <w:t xml:space="preserve">    4.6 Mathematical Confidence Calibration &amp; OOD Gating Formulation</w:t>
      </w:r>
    </w:p>
    <w:p>
      <w:pPr>
        <w:spacing w:before="20" w:after="40"/>
      </w:pPr>
      <w:r>
        <w:rPr>
          <w:rFonts w:ascii="Calibri" w:hAnsi="Calibri"/>
          <w:b/>
          <w:color w:val="1B5E20"/>
          <w:sz w:val="20"/>
        </w:rPr>
        <w:t>CHAPTER 5: IMPLEMENTATION AND METHODOLOGIES</w:t>
      </w:r>
    </w:p>
    <w:p>
      <w:pPr>
        <w:spacing w:before="20" w:after="40"/>
      </w:pPr>
      <w:r>
        <w:rPr>
          <w:rFonts w:ascii="Calibri" w:hAnsi="Calibri"/>
          <w:color w:val="37474F"/>
          <w:sz w:val="20"/>
        </w:rPr>
        <w:t xml:space="preserve">    5.1 Project Directory Structure &amp; Modular Decomposition</w:t>
      </w:r>
    </w:p>
    <w:p>
      <w:pPr>
        <w:spacing w:before="20" w:after="40"/>
      </w:pPr>
      <w:r>
        <w:rPr>
          <w:rFonts w:ascii="Calibri" w:hAnsi="Calibri"/>
          <w:color w:val="37474F"/>
          <w:sz w:val="20"/>
        </w:rPr>
        <w:t xml:space="preserve">    5.2 Deep Learning Inference Pipeline (dpd_model.py)</w:t>
      </w:r>
    </w:p>
    <w:p>
      <w:pPr>
        <w:spacing w:before="20" w:after="40"/>
      </w:pPr>
      <w:r>
        <w:rPr>
          <w:rFonts w:ascii="Calibri" w:hAnsi="Calibri"/>
          <w:color w:val="37474F"/>
          <w:sz w:val="20"/>
        </w:rPr>
        <w:t xml:space="preserve">    5.3 Asynchronous Web Server &amp; REST API Implementation (app.py)</w:t>
      </w:r>
    </w:p>
    <w:p>
      <w:pPr>
        <w:spacing w:before="20" w:after="40"/>
      </w:pPr>
      <w:r>
        <w:rPr>
          <w:rFonts w:ascii="Calibri" w:hAnsi="Calibri"/>
          <w:color w:val="37474F"/>
          <w:sz w:val="20"/>
        </w:rPr>
        <w:t xml:space="preserve">    5.4 Database Access Layer &amp; Transaction Management (database.py)</w:t>
      </w:r>
    </w:p>
    <w:p>
      <w:pPr>
        <w:spacing w:before="20" w:after="40"/>
      </w:pPr>
      <w:r>
        <w:rPr>
          <w:rFonts w:ascii="Calibri" w:hAnsi="Calibri"/>
          <w:color w:val="37474F"/>
          <w:sz w:val="20"/>
        </w:rPr>
        <w:t xml:space="preserve">    5.5 Clinical Report Generation Engine (pdf_generator.py)</w:t>
      </w:r>
    </w:p>
    <w:p>
      <w:pPr>
        <w:spacing w:before="20" w:after="40"/>
      </w:pPr>
      <w:r>
        <w:rPr>
          <w:rFonts w:ascii="Calibri" w:hAnsi="Calibri"/>
          <w:color w:val="37474F"/>
          <w:sz w:val="20"/>
        </w:rPr>
        <w:t xml:space="preserve">    5.6 Front-End User Interface &amp; Farmer Interaction Workflow</w:t>
      </w:r>
    </w:p>
    <w:p>
      <w:pPr>
        <w:spacing w:before="20" w:after="40"/>
      </w:pPr>
      <w:r>
        <w:rPr>
          <w:rFonts w:ascii="Calibri" w:hAnsi="Calibri"/>
          <w:b/>
          <w:color w:val="1B5E20"/>
          <w:sz w:val="20"/>
        </w:rPr>
        <w:t>CHAPTER 6: SOFTWARE TESTING AND QUALITY ASSURANCE</w:t>
      </w:r>
    </w:p>
    <w:p>
      <w:pPr>
        <w:spacing w:before="20" w:after="40"/>
      </w:pPr>
      <w:r>
        <w:rPr>
          <w:rFonts w:ascii="Calibri" w:hAnsi="Calibri"/>
          <w:color w:val="37474F"/>
          <w:sz w:val="20"/>
        </w:rPr>
        <w:t xml:space="preserve">    6.1 Testing Methodology &amp; Test Pyramid Strategy</w:t>
      </w:r>
    </w:p>
    <w:p>
      <w:pPr>
        <w:spacing w:before="20" w:after="40"/>
      </w:pPr>
      <w:r>
        <w:rPr>
          <w:rFonts w:ascii="Calibri" w:hAnsi="Calibri"/>
          <w:color w:val="37474F"/>
          <w:sz w:val="20"/>
        </w:rPr>
        <w:t xml:space="preserve">    6.2 Test Environment, Tooling &amp; Automation Fixtures</w:t>
      </w:r>
    </w:p>
    <w:p>
      <w:pPr>
        <w:spacing w:before="20" w:after="40"/>
      </w:pPr>
      <w:r>
        <w:rPr>
          <w:rFonts w:ascii="Calibri" w:hAnsi="Calibri"/>
          <w:color w:val="37474F"/>
          <w:sz w:val="20"/>
        </w:rPr>
        <w:t xml:space="preserve">    6.3 Comprehensive Test Suite Execution (25 Verified Scenarios)</w:t>
      </w:r>
    </w:p>
    <w:p>
      <w:pPr>
        <w:spacing w:before="20" w:after="40"/>
      </w:pPr>
      <w:r>
        <w:rPr>
          <w:rFonts w:ascii="Calibri" w:hAnsi="Calibri"/>
          <w:color w:val="37474F"/>
          <w:sz w:val="20"/>
        </w:rPr>
        <w:t xml:space="preserve">    6.4 Master Software Test Execution Summary Log</w:t>
      </w:r>
    </w:p>
    <w:p>
      <w:pPr>
        <w:spacing w:before="20" w:after="40"/>
      </w:pPr>
      <w:r>
        <w:rPr>
          <w:rFonts w:ascii="Calibri" w:hAnsi="Calibri"/>
          <w:color w:val="37474F"/>
          <w:sz w:val="20"/>
        </w:rPr>
        <w:t xml:space="preserve">    6.5 Security Audits &amp; Robustness Verification</w:t>
      </w:r>
    </w:p>
    <w:p>
      <w:pPr>
        <w:spacing w:before="20" w:after="40"/>
      </w:pPr>
      <w:r>
        <w:rPr>
          <w:rFonts w:ascii="Calibri" w:hAnsi="Calibri"/>
          <w:color w:val="37474F"/>
          <w:sz w:val="20"/>
        </w:rPr>
        <w:t xml:space="preserve">    6.6 Requirements Traceability Matrix</w:t>
      </w:r>
    </w:p>
    <w:p>
      <w:pPr>
        <w:spacing w:before="20" w:after="40"/>
      </w:pPr>
      <w:r>
        <w:rPr>
          <w:rFonts w:ascii="Calibri" w:hAnsi="Calibri"/>
          <w:b/>
          <w:color w:val="1B5E20"/>
          <w:sz w:val="20"/>
        </w:rPr>
        <w:t>CHAPTER 7: RESULTS, EVALUATION AND DISCUSSION</w:t>
      </w:r>
    </w:p>
    <w:p>
      <w:pPr>
        <w:spacing w:before="20" w:after="40"/>
      </w:pPr>
      <w:r>
        <w:rPr>
          <w:rFonts w:ascii="Calibri" w:hAnsi="Calibri"/>
          <w:color w:val="37474F"/>
          <w:sz w:val="20"/>
        </w:rPr>
        <w:t xml:space="preserve">    7.1 Multi-Crop Dataset Composition &amp; 333 Class Distribution</w:t>
      </w:r>
    </w:p>
    <w:p>
      <w:pPr>
        <w:spacing w:before="20" w:after="40"/>
      </w:pPr>
      <w:r>
        <w:rPr>
          <w:rFonts w:ascii="Calibri" w:hAnsi="Calibri"/>
          <w:color w:val="37474F"/>
          <w:sz w:val="20"/>
        </w:rPr>
        <w:t xml:space="preserve">    7.2 Model Performance Metrics &amp; Crop Family Breakdown</w:t>
      </w:r>
    </w:p>
    <w:p>
      <w:pPr>
        <w:spacing w:before="20" w:after="40"/>
      </w:pPr>
      <w:r>
        <w:rPr>
          <w:rFonts w:ascii="Calibri" w:hAnsi="Calibri"/>
          <w:color w:val="37474F"/>
          <w:sz w:val="20"/>
        </w:rPr>
        <w:t xml:space="preserve">    7.3 Comparative Benchmarking Against Baselines</w:t>
      </w:r>
    </w:p>
    <w:p>
      <w:pPr>
        <w:spacing w:before="20" w:after="40"/>
      </w:pPr>
      <w:r>
        <w:rPr>
          <w:rFonts w:ascii="Calibri" w:hAnsi="Calibri"/>
          <w:color w:val="37474F"/>
          <w:sz w:val="20"/>
        </w:rPr>
        <w:t xml:space="preserve">    7.4 Out-of-Distribution Gating &amp; Rejection Performance</w:t>
      </w:r>
    </w:p>
    <w:p>
      <w:pPr>
        <w:spacing w:before="20" w:after="40"/>
      </w:pPr>
      <w:r>
        <w:rPr>
          <w:rFonts w:ascii="Calibri" w:hAnsi="Calibri"/>
          <w:color w:val="37474F"/>
          <w:sz w:val="20"/>
        </w:rPr>
        <w:t xml:space="preserve">    7.5 System Inference Latency &amp; Scalability Benchmarks</w:t>
      </w:r>
    </w:p>
    <w:p>
      <w:pPr>
        <w:spacing w:before="20" w:after="40"/>
      </w:pPr>
      <w:r>
        <w:rPr>
          <w:rFonts w:ascii="Calibri" w:hAnsi="Calibri"/>
          <w:color w:val="37474F"/>
          <w:sz w:val="20"/>
        </w:rPr>
        <w:t xml:space="preserve">    7.6 Real-World Field Case Studies &amp; UI Validation</w:t>
      </w:r>
    </w:p>
    <w:p>
      <w:pPr>
        <w:spacing w:before="20" w:after="40"/>
      </w:pPr>
      <w:r>
        <w:rPr>
          <w:rFonts w:ascii="Calibri" w:hAnsi="Calibri"/>
          <w:b/>
          <w:color w:val="1B5E20"/>
          <w:sz w:val="20"/>
        </w:rPr>
        <w:t>CHAPTER 8: CONCLUSION, LIMITATIONS AND FUTURE WORK</w:t>
      </w:r>
    </w:p>
    <w:p>
      <w:pPr>
        <w:spacing w:before="20" w:after="40"/>
      </w:pPr>
      <w:r>
        <w:rPr>
          <w:rFonts w:ascii="Calibri" w:hAnsi="Calibri"/>
          <w:color w:val="37474F"/>
          <w:sz w:val="20"/>
        </w:rPr>
        <w:t xml:space="preserve">    8.1 Summary of Engineering Contributions</w:t>
      </w:r>
    </w:p>
    <w:p>
      <w:pPr>
        <w:spacing w:before="20" w:after="40"/>
      </w:pPr>
      <w:r>
        <w:rPr>
          <w:rFonts w:ascii="Calibri" w:hAnsi="Calibri"/>
          <w:color w:val="37474F"/>
          <w:sz w:val="20"/>
        </w:rPr>
        <w:t xml:space="preserve">    8.2 Practical Agronomic Impact on Precision Farming</w:t>
      </w:r>
    </w:p>
    <w:p>
      <w:pPr>
        <w:spacing w:before="20" w:after="40"/>
      </w:pPr>
      <w:r>
        <w:rPr>
          <w:rFonts w:ascii="Calibri" w:hAnsi="Calibri"/>
          <w:color w:val="37474F"/>
          <w:sz w:val="20"/>
        </w:rPr>
        <w:t xml:space="preserve">    8.3 Current System Limitations &amp; Field Constraints</w:t>
      </w:r>
    </w:p>
    <w:p>
      <w:pPr>
        <w:spacing w:before="20" w:after="40"/>
      </w:pPr>
      <w:r>
        <w:rPr>
          <w:rFonts w:ascii="Calibri" w:hAnsi="Calibri"/>
          <w:color w:val="37474F"/>
          <w:sz w:val="20"/>
        </w:rPr>
        <w:t xml:space="preserve">    8.4 Future Research Directions</w:t>
      </w:r>
    </w:p>
    <w:p>
      <w:pPr>
        <w:spacing w:before="20" w:after="40"/>
      </w:pPr>
      <w:r>
        <w:rPr>
          <w:rFonts w:ascii="Calibri" w:hAnsi="Calibri"/>
          <w:b/>
          <w:color w:val="1B5E20"/>
          <w:sz w:val="20"/>
        </w:rPr>
        <w:t>REFERENCES (32 Peer-Reviewed IEEE / Springer Citations)</w:t>
      </w:r>
    </w:p>
    <w:p>
      <w:pPr>
        <w:spacing w:before="20" w:after="40"/>
      </w:pPr>
      <w:r>
        <w:rPr>
          <w:rFonts w:ascii="Calibri" w:hAnsi="Calibri"/>
          <w:b/>
          <w:color w:val="1B5E20"/>
          <w:sz w:val="20"/>
        </w:rPr>
        <w:t>APPENDIX A: BOTANICAL &amp; PATHOLOGICAL TAXONOMY SPECIFICATION</w:t>
      </w:r>
    </w:p>
    <w:p>
      <w:pPr>
        <w:spacing w:before="20" w:after="40"/>
      </w:pPr>
      <w:r>
        <w:rPr>
          <w:rFonts w:ascii="Calibri" w:hAnsi="Calibri"/>
          <w:b/>
          <w:color w:val="1B5E20"/>
          <w:sz w:val="20"/>
        </w:rPr>
        <w:t>APPENDIX B: COMPLETE REST API OPENAPI / SWAGGER SPECIFICATION</w:t>
      </w:r>
    </w:p>
    <w:p>
      <w:pPr>
        <w:spacing w:before="20" w:after="40"/>
      </w:pPr>
      <w:r>
        <w:rPr>
          <w:rFonts w:ascii="Calibri" w:hAnsi="Calibri"/>
          <w:b/>
          <w:color w:val="1B5E20"/>
          <w:sz w:val="20"/>
        </w:rPr>
        <w:t>APPENDIX C: SYSTEM INSTALLATION &amp; PRODUCTION DEPLOYMENT GUIDE</w:t>
      </w:r>
    </w:p>
    <w:p>
      <w:pPr>
        <w:spacing w:before="20" w:after="40"/>
      </w:pPr>
      <w:r>
        <w:rPr>
          <w:rFonts w:ascii="Calibri" w:hAnsi="Calibri"/>
          <w:b/>
          <w:color w:val="1B5E20"/>
          <w:sz w:val="20"/>
        </w:rPr>
        <w:t>APPENDIX D: 5-PILLAR AGRICULTURAL ADVISORY PROTOCOLS (SAMPLE)</w:t>
      </w:r>
    </w:p>
    <w:p>
      <w:r>
        <w:br w:type="page"/>
      </w:r>
    </w:p>
    <w:p>
      <w:pPr>
        <w:keepNext/>
        <w:spacing w:before="360" w:after="120"/>
        <w:jc w:val="center"/>
      </w:pPr>
      <w:r>
        <w:rPr>
          <w:rFonts w:ascii="Calibri" w:hAnsi="Calibri"/>
          <w:b/>
          <w:color w:val="1B5E20"/>
          <w:sz w:val="30"/>
        </w:rPr>
        <w:t>LIST OF FIGURES</w:t>
      </w:r>
    </w:p>
    <w:p>
      <w:pPr>
        <w:spacing w:before="20" w:after="40"/>
      </w:pPr>
      <w:r>
        <w:rPr>
          <w:b/>
          <w:color w:val="2E7D32"/>
        </w:rPr>
        <w:t xml:space="preserve">Fig. 1.1:  </w:t>
      </w:r>
      <w:r>
        <w:rPr>
          <w:sz w:val="20"/>
        </w:rPr>
        <w:t>Resolution and environmental gap between PlantVillage lab samples and noisy real-world field leaves</w:t>
      </w:r>
    </w:p>
    <w:p>
      <w:pPr>
        <w:spacing w:before="20" w:after="40"/>
      </w:pPr>
      <w:r>
        <w:rPr>
          <w:b/>
          <w:color w:val="2E7D32"/>
        </w:rPr>
        <w:t xml:space="preserve">Fig. 4.1:  </w:t>
      </w:r>
      <w:r>
        <w:rPr>
          <w:sz w:val="20"/>
        </w:rPr>
        <w:t>High-level layered system architecture of the Multi-Crop Disease Detection &amp; Advisory Platform (Archify)</w:t>
      </w:r>
    </w:p>
    <w:p>
      <w:pPr>
        <w:spacing w:before="20" w:after="40"/>
      </w:pPr>
      <w:r>
        <w:rPr>
          <w:b/>
          <w:color w:val="2E7D32"/>
        </w:rPr>
        <w:t xml:space="preserve">Fig. 4.2:  </w:t>
      </w:r>
      <w:r>
        <w:rPr>
          <w:sz w:val="20"/>
        </w:rPr>
        <w:t>End-to-end clinical diagnostic workflow — leaf ingestion to 5-pillar prescription delivery (Archify)</w:t>
      </w:r>
    </w:p>
    <w:p>
      <w:pPr>
        <w:spacing w:before="20" w:after="40"/>
      </w:pPr>
      <w:r>
        <w:rPr>
          <w:b/>
          <w:color w:val="2E7D32"/>
        </w:rPr>
        <w:t xml:space="preserve">Fig. 4.3:  </w:t>
      </w:r>
      <w:r>
        <w:rPr>
          <w:sz w:val="20"/>
        </w:rPr>
        <w:t>UML Use Case diagram — Farmer/Analyst and Agronomist/Administrator interaction boundaries</w:t>
      </w:r>
    </w:p>
    <w:p>
      <w:pPr>
        <w:spacing w:before="20" w:after="40"/>
      </w:pPr>
      <w:r>
        <w:rPr>
          <w:b/>
          <w:color w:val="2E7D32"/>
        </w:rPr>
        <w:t xml:space="preserve">Fig. 4.4:  </w:t>
      </w:r>
      <w:r>
        <w:rPr>
          <w:sz w:val="20"/>
        </w:rPr>
        <w:t>UML Class diagram — DPDInferenceEngine, DPDViTDualHead, FastAPI routing, and Database schemas</w:t>
      </w:r>
    </w:p>
    <w:p>
      <w:pPr>
        <w:spacing w:before="20" w:after="40"/>
      </w:pPr>
      <w:r>
        <w:rPr>
          <w:b/>
          <w:color w:val="2E7D32"/>
        </w:rPr>
        <w:t xml:space="preserve">Fig. 4.5:  </w:t>
      </w:r>
      <w:r>
        <w:rPr>
          <w:sz w:val="20"/>
        </w:rPr>
        <w:t>UML Sequence diagram — Upload-to-Diagnosis asynchronous execution and storage lifecycle</w:t>
      </w:r>
    </w:p>
    <w:p>
      <w:pPr>
        <w:spacing w:before="20" w:after="40"/>
      </w:pPr>
      <w:r>
        <w:rPr>
          <w:b/>
          <w:color w:val="2E7D32"/>
        </w:rPr>
        <w:t xml:space="preserve">Fig. 4.6:  </w:t>
      </w:r>
      <w:r>
        <w:rPr>
          <w:sz w:val="20"/>
        </w:rPr>
        <w:t>Data Flow Diagram Level 1 — Ingestion, ViT Inference, OOD Gating, and Advisory Delivery (Archify)</w:t>
      </w:r>
    </w:p>
    <w:p>
      <w:pPr>
        <w:spacing w:before="20" w:after="40"/>
      </w:pPr>
      <w:r>
        <w:rPr>
          <w:b/>
          <w:color w:val="2E7D32"/>
        </w:rPr>
        <w:t xml:space="preserve">Fig. 4.9:  </w:t>
      </w:r>
      <w:r>
        <w:rPr>
          <w:sz w:val="20"/>
        </w:rPr>
        <w:t>Entity-Relationship (ER) diagram — users and predictions SQLite WAL relational architecture</w:t>
      </w:r>
    </w:p>
    <w:p>
      <w:pPr>
        <w:spacing w:before="20" w:after="40"/>
      </w:pPr>
      <w:r>
        <w:rPr>
          <w:b/>
          <w:color w:val="2E7D32"/>
        </w:rPr>
        <w:t xml:space="preserve">Fig. 6.1:  </w:t>
      </w:r>
      <w:r>
        <w:rPr>
          <w:sz w:val="20"/>
        </w:rPr>
        <w:t>Comprehensive Testing Pyramid — Unit, Contract Invariants, Security, and End-to-End API Integration</w:t>
      </w:r>
    </w:p>
    <w:p>
      <w:pPr>
        <w:spacing w:before="20" w:after="40"/>
      </w:pPr>
      <w:r>
        <w:rPr>
          <w:b/>
          <w:color w:val="2E7D32"/>
        </w:rPr>
        <w:t xml:space="preserve">Fig. 7.1:  </w:t>
      </w:r>
      <w:r>
        <w:rPr>
          <w:sz w:val="20"/>
        </w:rPr>
        <w:t>Interactive Web Portal Interface — Desktop and Mobile responsive navigation dashboard</w:t>
      </w:r>
    </w:p>
    <w:p>
      <w:pPr>
        <w:spacing w:before="20" w:after="40"/>
      </w:pPr>
      <w:r>
        <w:rPr>
          <w:b/>
          <w:color w:val="2E7D32"/>
        </w:rPr>
        <w:t xml:space="preserve">Fig. 7.2:  </w:t>
      </w:r>
      <w:r>
        <w:rPr>
          <w:sz w:val="20"/>
        </w:rPr>
        <w:t>Foliar Diagnostic Assessment Card — Top-1 disease detection with calibrated confidence meter</w:t>
      </w:r>
    </w:p>
    <w:p>
      <w:pPr>
        <w:spacing w:before="20" w:after="40"/>
      </w:pPr>
      <w:r>
        <w:rPr>
          <w:b/>
          <w:color w:val="2E7D32"/>
        </w:rPr>
        <w:t xml:space="preserve">Fig. 7.5:  </w:t>
      </w:r>
      <w:r>
        <w:rPr>
          <w:sz w:val="20"/>
        </w:rPr>
        <w:t>Comprehensive 5-Pillar Clinical Treatment Advisory Modal (Symptoms, Cause, Organic, Chemical, Prevention)</w:t>
      </w:r>
    </w:p>
    <w:p>
      <w:pPr>
        <w:spacing w:before="20" w:after="40"/>
      </w:pPr>
      <w:r>
        <w:rPr>
          <w:b/>
          <w:color w:val="2E7D32"/>
        </w:rPr>
        <w:t xml:space="preserve">Fig. 7.6:  </w:t>
      </w:r>
      <w:r>
        <w:rPr>
          <w:sz w:val="20"/>
        </w:rPr>
        <w:t>Official Clinical PDF Diagnostic Report Export rendered via automated ReportLab engine</w:t>
      </w:r>
    </w:p>
    <w:p>
      <w:r>
        <w:br w:type="page"/>
      </w:r>
    </w:p>
    <w:p>
      <w:pPr>
        <w:keepNext/>
        <w:spacing w:before="360" w:after="120"/>
        <w:jc w:val="center"/>
      </w:pPr>
      <w:r>
        <w:rPr>
          <w:rFonts w:ascii="Calibri" w:hAnsi="Calibri"/>
          <w:b/>
          <w:color w:val="1B5E20"/>
          <w:sz w:val="30"/>
        </w:rPr>
        <w:t>LIST OF TABLES</w:t>
      </w:r>
    </w:p>
    <w:p>
      <w:pPr>
        <w:spacing w:before="20" w:after="40"/>
      </w:pPr>
      <w:r>
        <w:rPr>
          <w:b/>
          <w:color w:val="2E7D32"/>
        </w:rPr>
        <w:t xml:space="preserve">Table 2.1:  </w:t>
      </w:r>
      <w:r>
        <w:rPr>
          <w:sz w:val="20"/>
        </w:rPr>
        <w:t>Comparative analysis of 12 existing plant pathology approaches vs. proposed DPD ViT-Base</w:t>
      </w:r>
    </w:p>
    <w:p>
      <w:pPr>
        <w:spacing w:before="20" w:after="40"/>
      </w:pPr>
      <w:r>
        <w:rPr>
          <w:b/>
          <w:color w:val="2E7D32"/>
        </w:rPr>
        <w:t xml:space="preserve">Table 3.1:  </w:t>
      </w:r>
      <w:r>
        <w:rPr>
          <w:sz w:val="20"/>
        </w:rPr>
        <w:t>Hardware specifications for model training, offline benchmarking, and production hosting</w:t>
      </w:r>
    </w:p>
    <w:p>
      <w:pPr>
        <w:spacing w:before="20" w:after="40"/>
      </w:pPr>
      <w:r>
        <w:rPr>
          <w:b/>
          <w:color w:val="2E7D32"/>
        </w:rPr>
        <w:t xml:space="preserve">Table 3.2:  </w:t>
      </w:r>
      <w:r>
        <w:rPr>
          <w:sz w:val="20"/>
        </w:rPr>
        <w:t>Production software environment and runtime dependency specifications</w:t>
      </w:r>
    </w:p>
    <w:p>
      <w:pPr>
        <w:spacing w:before="20" w:after="40"/>
      </w:pPr>
      <w:r>
        <w:rPr>
          <w:b/>
          <w:color w:val="2E7D32"/>
        </w:rPr>
        <w:t xml:space="preserve">Table 4.1:  </w:t>
      </w:r>
      <w:r>
        <w:rPr>
          <w:sz w:val="20"/>
        </w:rPr>
        <w:t>Relational database schema — users and predictions entities with indexing strategies</w:t>
      </w:r>
    </w:p>
    <w:p>
      <w:pPr>
        <w:spacing w:before="20" w:after="40"/>
      </w:pPr>
      <w:r>
        <w:rPr>
          <w:b/>
          <w:color w:val="2E7D32"/>
        </w:rPr>
        <w:t xml:space="preserve">Table 6.1:  </w:t>
      </w:r>
      <w:r>
        <w:rPr>
          <w:sz w:val="20"/>
        </w:rPr>
        <w:t>Master Software Test Case Log (25 formal test cases across 8 functional modules)</w:t>
      </w:r>
    </w:p>
    <w:p>
      <w:pPr>
        <w:spacing w:before="20" w:after="40"/>
      </w:pPr>
      <w:r>
        <w:rPr>
          <w:b/>
          <w:color w:val="2E7D32"/>
        </w:rPr>
        <w:t xml:space="preserve">Table 6.2:  </w:t>
      </w:r>
      <w:r>
        <w:rPr>
          <w:sz w:val="20"/>
        </w:rPr>
        <w:t>Requirements Traceability Matrix (RTM) mapping FR/NFR to test case identifiers</w:t>
      </w:r>
    </w:p>
    <w:p>
      <w:pPr>
        <w:spacing w:before="20" w:after="40"/>
      </w:pPr>
      <w:r>
        <w:rPr>
          <w:b/>
          <w:color w:val="2E7D32"/>
        </w:rPr>
        <w:t xml:space="preserve">Table 7.1:  </w:t>
      </w:r>
      <w:r>
        <w:rPr>
          <w:sz w:val="20"/>
        </w:rPr>
        <w:t>Quantitative evaluation metrics across 8 multi-crop botanical families</w:t>
      </w:r>
    </w:p>
    <w:p>
      <w:pPr>
        <w:spacing w:before="20" w:after="40"/>
      </w:pPr>
      <w:r>
        <w:rPr>
          <w:b/>
          <w:color w:val="2E7D32"/>
        </w:rPr>
        <w:t xml:space="preserve">Table 7.2:  </w:t>
      </w:r>
      <w:r>
        <w:rPr>
          <w:sz w:val="20"/>
        </w:rPr>
        <w:t>Comparative benchmarking of DPD ViT-Base against 5 baseline deep learning architectures</w:t>
      </w:r>
    </w:p>
    <w:p>
      <w:pPr>
        <w:spacing w:before="20" w:after="40"/>
      </w:pPr>
      <w:r>
        <w:rPr>
          <w:b/>
          <w:color w:val="2E7D32"/>
        </w:rPr>
        <w:t xml:space="preserve">Table 7.3:  </w:t>
      </w:r>
      <w:r>
        <w:rPr>
          <w:sz w:val="20"/>
        </w:rPr>
        <w:t>Granular stage-by-stage end-to-end inference and report generation latency breakdown</w:t>
      </w:r>
    </w:p>
    <w:p>
      <w:pPr>
        <w:spacing w:before="20" w:after="40"/>
      </w:pPr>
      <w:r>
        <w:rPr>
          <w:b/>
          <w:color w:val="2E7D32"/>
        </w:rPr>
        <w:t xml:space="preserve">Table A.1:  </w:t>
      </w:r>
      <w:r>
        <w:rPr>
          <w:sz w:val="20"/>
        </w:rPr>
        <w:t>Complete 333-Pair Botanical &amp; Pathological Taxonomy Dictionary (Appendix A)</w:t>
      </w:r>
    </w:p>
    <w:p>
      <w:pPr>
        <w:spacing w:before="160"/>
      </w:pPr>
    </w:p>
    <w:p>
      <w:pPr>
        <w:keepNext/>
        <w:spacing w:before="360" w:after="120"/>
        <w:jc w:val="center"/>
      </w:pPr>
      <w:r>
        <w:rPr>
          <w:rFonts w:ascii="Calibri" w:hAnsi="Calibri"/>
          <w:b/>
          <w:color w:val="1B5E20"/>
          <w:sz w:val="30"/>
        </w:rPr>
        <w:t>LIST OF ABBREVIATIONS</w:t>
      </w:r>
    </w:p>
    <w:tbl>
      <w:tblPr>
        <w:tblW w:type="auto" w:w="0"/>
        <w:jc w:val="center"/>
        <w:tblLook w:firstColumn="1" w:firstRow="1" w:lastColumn="0" w:lastRow="0" w:noHBand="0" w:noVBand="1" w:val="04A0"/>
      </w:tblPr>
      <w:tblGrid>
        <w:gridCol w:w="4334"/>
        <w:gridCol w:w="4334"/>
      </w:tblGrid>
      <w:tr>
        <w:trPr>
          <w:tblHeader/>
          <w:cantSplit/>
        </w:trPr>
        <w:tc>
          <w:tcPr>
            <w:tcW w:type="dxa" w:w="2592"/>
            <w:shd w:fill="2E7D32"/>
            <w:tcMar>
              <w:top w:w="70" w:type="dxa"/>
              <w:bottom w:w="70" w:type="dxa"/>
              <w:left w:w="90" w:type="dxa"/>
              <w:right w:w="90" w:type="dxa"/>
            </w:tcMar>
          </w:tcPr>
          <w:p>
            <w:pPr>
              <w:spacing w:after="0" w:before="0"/>
              <w:jc w:val="center"/>
            </w:pPr>
            <w:r>
              <w:rPr>
                <w:rFonts w:ascii="Calibri" w:hAnsi="Calibri"/>
                <w:b/>
                <w:color w:val="FFFFFF"/>
                <w:sz w:val="19"/>
              </w:rPr>
              <w:t>Abbreviation</w:t>
            </w:r>
          </w:p>
        </w:tc>
        <w:tc>
          <w:tcPr>
            <w:tcW w:type="dxa" w:w="6048"/>
            <w:shd w:fill="2E7D32"/>
            <w:tcMar>
              <w:top w:w="70" w:type="dxa"/>
              <w:bottom w:w="70" w:type="dxa"/>
              <w:left w:w="90" w:type="dxa"/>
              <w:right w:w="90" w:type="dxa"/>
            </w:tcMar>
          </w:tcPr>
          <w:p>
            <w:pPr>
              <w:spacing w:after="0" w:before="0"/>
              <w:jc w:val="center"/>
            </w:pPr>
            <w:r>
              <w:rPr>
                <w:rFonts w:ascii="Calibri" w:hAnsi="Calibri"/>
                <w:b/>
                <w:color w:val="FFFFFF"/>
                <w:sz w:val="19"/>
              </w:rPr>
              <w:t>Full Form / Domain Definition</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ViT</w:t>
            </w:r>
          </w:p>
        </w:tc>
        <w:tc>
          <w:tcPr>
            <w:tcW w:type="dxa" w:w="6048"/>
            <w:shd w:fill="FFFFFF"/>
            <w:tcMar>
              <w:top w:w="50" w:type="dxa"/>
              <w:bottom w:w="50" w:type="dxa"/>
              <w:left w:w="90" w:type="dxa"/>
              <w:right w:w="90" w:type="dxa"/>
            </w:tcMar>
          </w:tcPr>
          <w:p>
            <w:pPr>
              <w:spacing w:after="0" w:before="0" w:line="252" w:lineRule="auto"/>
              <w:jc w:val="left"/>
            </w:pPr>
            <w:r>
              <w:rPr>
                <w:rFonts w:ascii="Calibri" w:hAnsi="Calibri"/>
                <w:color w:val="263238"/>
                <w:sz w:val="18"/>
              </w:rPr>
              <w:t>Vision Transformer</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DPD</w:t>
            </w:r>
          </w:p>
        </w:tc>
        <w:tc>
          <w:tcPr>
            <w:tcW w:type="dxa" w:w="6048"/>
            <w:shd w:fill="F9FBE7"/>
            <w:tcMar>
              <w:top w:w="50" w:type="dxa"/>
              <w:bottom w:w="50" w:type="dxa"/>
              <w:left w:w="90" w:type="dxa"/>
              <w:right w:w="90" w:type="dxa"/>
            </w:tcMar>
          </w:tcPr>
          <w:p>
            <w:pPr>
              <w:spacing w:after="0" w:before="0" w:line="252" w:lineRule="auto"/>
              <w:jc w:val="left"/>
            </w:pPr>
            <w:r>
              <w:rPr>
                <w:rFonts w:ascii="Calibri" w:hAnsi="Calibri"/>
                <w:color w:val="263238"/>
                <w:sz w:val="18"/>
              </w:rPr>
              <w:t>Dual-head Plant Disease (ViT-Base Model Architecture)</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OOD</w:t>
            </w:r>
          </w:p>
        </w:tc>
        <w:tc>
          <w:tcPr>
            <w:tcW w:type="dxa" w:w="6048"/>
            <w:shd w:fill="FFFFFF"/>
            <w:tcMar>
              <w:top w:w="50" w:type="dxa"/>
              <w:bottom w:w="50" w:type="dxa"/>
              <w:left w:w="90" w:type="dxa"/>
              <w:right w:w="90" w:type="dxa"/>
            </w:tcMar>
          </w:tcPr>
          <w:p>
            <w:pPr>
              <w:spacing w:after="0" w:before="0" w:line="252" w:lineRule="auto"/>
              <w:jc w:val="left"/>
            </w:pPr>
            <w:r>
              <w:rPr>
                <w:rFonts w:ascii="Calibri" w:hAnsi="Calibri"/>
                <w:color w:val="263238"/>
                <w:sz w:val="18"/>
              </w:rPr>
              <w:t>Out-Of-Distribution (Detection / Gating Guard)</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CNN</w:t>
            </w:r>
          </w:p>
        </w:tc>
        <w:tc>
          <w:tcPr>
            <w:tcW w:type="dxa" w:w="6048"/>
            <w:shd w:fill="F9FBE7"/>
            <w:tcMar>
              <w:top w:w="50" w:type="dxa"/>
              <w:bottom w:w="50" w:type="dxa"/>
              <w:left w:w="90" w:type="dxa"/>
              <w:right w:w="90" w:type="dxa"/>
            </w:tcMar>
          </w:tcPr>
          <w:p>
            <w:pPr>
              <w:spacing w:after="0" w:before="0" w:line="252" w:lineRule="auto"/>
              <w:jc w:val="left"/>
            </w:pPr>
            <w:r>
              <w:rPr>
                <w:rFonts w:ascii="Calibri" w:hAnsi="Calibri"/>
                <w:color w:val="263238"/>
                <w:sz w:val="18"/>
              </w:rPr>
              <w:t>Convolutional Neural Network</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MHSA</w:t>
            </w:r>
          </w:p>
        </w:tc>
        <w:tc>
          <w:tcPr>
            <w:tcW w:type="dxa" w:w="6048"/>
            <w:shd w:fill="FFFFFF"/>
            <w:tcMar>
              <w:top w:w="50" w:type="dxa"/>
              <w:bottom w:w="50" w:type="dxa"/>
              <w:left w:w="90" w:type="dxa"/>
              <w:right w:w="90" w:type="dxa"/>
            </w:tcMar>
          </w:tcPr>
          <w:p>
            <w:pPr>
              <w:spacing w:after="0" w:before="0" w:line="252" w:lineRule="auto"/>
              <w:jc w:val="left"/>
            </w:pPr>
            <w:r>
              <w:rPr>
                <w:rFonts w:ascii="Calibri" w:hAnsi="Calibri"/>
                <w:color w:val="263238"/>
                <w:sz w:val="18"/>
              </w:rPr>
              <w:t>Multi-Head Self-Attention</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JWT</w:t>
            </w:r>
          </w:p>
        </w:tc>
        <w:tc>
          <w:tcPr>
            <w:tcW w:type="dxa" w:w="6048"/>
            <w:shd w:fill="F9FBE7"/>
            <w:tcMar>
              <w:top w:w="50" w:type="dxa"/>
              <w:bottom w:w="50" w:type="dxa"/>
              <w:left w:w="90" w:type="dxa"/>
              <w:right w:w="90" w:type="dxa"/>
            </w:tcMar>
          </w:tcPr>
          <w:p>
            <w:pPr>
              <w:spacing w:after="0" w:before="0" w:line="252" w:lineRule="auto"/>
              <w:jc w:val="left"/>
            </w:pPr>
            <w:r>
              <w:rPr>
                <w:rFonts w:ascii="Calibri" w:hAnsi="Calibri"/>
                <w:color w:val="263238"/>
                <w:sz w:val="18"/>
              </w:rPr>
              <w:t>JSON Web Token (RFC 7519)</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WAL</w:t>
            </w:r>
          </w:p>
        </w:tc>
        <w:tc>
          <w:tcPr>
            <w:tcW w:type="dxa" w:w="6048"/>
            <w:shd w:fill="FFFFFF"/>
            <w:tcMar>
              <w:top w:w="50" w:type="dxa"/>
              <w:bottom w:w="50" w:type="dxa"/>
              <w:left w:w="90" w:type="dxa"/>
              <w:right w:w="90" w:type="dxa"/>
            </w:tcMar>
          </w:tcPr>
          <w:p>
            <w:pPr>
              <w:spacing w:after="0" w:before="0" w:line="252" w:lineRule="auto"/>
              <w:jc w:val="left"/>
            </w:pPr>
            <w:r>
              <w:rPr>
                <w:rFonts w:ascii="Calibri" w:hAnsi="Calibri"/>
                <w:color w:val="263238"/>
                <w:sz w:val="18"/>
              </w:rPr>
              <w:t>Write-Ahead Logging (SQLite Concurrency Journaling)</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IPM</w:t>
            </w:r>
          </w:p>
        </w:tc>
        <w:tc>
          <w:tcPr>
            <w:tcW w:type="dxa" w:w="6048"/>
            <w:shd w:fill="F9FBE7"/>
            <w:tcMar>
              <w:top w:w="50" w:type="dxa"/>
              <w:bottom w:w="50" w:type="dxa"/>
              <w:left w:w="90" w:type="dxa"/>
              <w:right w:w="90" w:type="dxa"/>
            </w:tcMar>
          </w:tcPr>
          <w:p>
            <w:pPr>
              <w:spacing w:after="0" w:before="0" w:line="252" w:lineRule="auto"/>
              <w:jc w:val="left"/>
            </w:pPr>
            <w:r>
              <w:rPr>
                <w:rFonts w:ascii="Calibri" w:hAnsi="Calibri"/>
                <w:color w:val="263238"/>
                <w:sz w:val="18"/>
              </w:rPr>
              <w:t>Integrated Pest Management</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IDOR</w:t>
            </w:r>
          </w:p>
        </w:tc>
        <w:tc>
          <w:tcPr>
            <w:tcW w:type="dxa" w:w="6048"/>
            <w:shd w:fill="FFFFFF"/>
            <w:tcMar>
              <w:top w:w="50" w:type="dxa"/>
              <w:bottom w:w="50" w:type="dxa"/>
              <w:left w:w="90" w:type="dxa"/>
              <w:right w:w="90" w:type="dxa"/>
            </w:tcMar>
          </w:tcPr>
          <w:p>
            <w:pPr>
              <w:spacing w:after="0" w:before="0" w:line="252" w:lineRule="auto"/>
              <w:jc w:val="left"/>
            </w:pPr>
            <w:r>
              <w:rPr>
                <w:rFonts w:ascii="Calibri" w:hAnsi="Calibri"/>
                <w:color w:val="263238"/>
                <w:sz w:val="18"/>
              </w:rPr>
              <w:t>Insecure Direct Object Reference (Access Control Vulnerability)</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MIME</w:t>
            </w:r>
          </w:p>
        </w:tc>
        <w:tc>
          <w:tcPr>
            <w:tcW w:type="dxa" w:w="6048"/>
            <w:shd w:fill="F9FBE7"/>
            <w:tcMar>
              <w:top w:w="50" w:type="dxa"/>
              <w:bottom w:w="50" w:type="dxa"/>
              <w:left w:w="90" w:type="dxa"/>
              <w:right w:w="90" w:type="dxa"/>
            </w:tcMar>
          </w:tcPr>
          <w:p>
            <w:pPr>
              <w:spacing w:after="0" w:before="0" w:line="252" w:lineRule="auto"/>
              <w:jc w:val="left"/>
            </w:pPr>
            <w:r>
              <w:rPr>
                <w:rFonts w:ascii="Calibri" w:hAnsi="Calibri"/>
                <w:color w:val="263238"/>
                <w:sz w:val="18"/>
              </w:rPr>
              <w:t>Multipurpose Internet Mail Extensions (File Type Validation)</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DFD</w:t>
            </w:r>
          </w:p>
        </w:tc>
        <w:tc>
          <w:tcPr>
            <w:tcW w:type="dxa" w:w="6048"/>
            <w:shd w:fill="FFFFFF"/>
            <w:tcMar>
              <w:top w:w="50" w:type="dxa"/>
              <w:bottom w:w="50" w:type="dxa"/>
              <w:left w:w="90" w:type="dxa"/>
              <w:right w:w="90" w:type="dxa"/>
            </w:tcMar>
          </w:tcPr>
          <w:p>
            <w:pPr>
              <w:spacing w:after="0" w:before="0" w:line="252" w:lineRule="auto"/>
              <w:jc w:val="left"/>
            </w:pPr>
            <w:r>
              <w:rPr>
                <w:rFonts w:ascii="Calibri" w:hAnsi="Calibri"/>
                <w:color w:val="263238"/>
                <w:sz w:val="18"/>
              </w:rPr>
              <w:t>Data Flow Diagram</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ERD</w:t>
            </w:r>
          </w:p>
        </w:tc>
        <w:tc>
          <w:tcPr>
            <w:tcW w:type="dxa" w:w="6048"/>
            <w:shd w:fill="F9FBE7"/>
            <w:tcMar>
              <w:top w:w="50" w:type="dxa"/>
              <w:bottom w:w="50" w:type="dxa"/>
              <w:left w:w="90" w:type="dxa"/>
              <w:right w:w="90" w:type="dxa"/>
            </w:tcMar>
          </w:tcPr>
          <w:p>
            <w:pPr>
              <w:spacing w:after="0" w:before="0" w:line="252" w:lineRule="auto"/>
              <w:jc w:val="left"/>
            </w:pPr>
            <w:r>
              <w:rPr>
                <w:rFonts w:ascii="Calibri" w:hAnsi="Calibri"/>
                <w:color w:val="263238"/>
                <w:sz w:val="18"/>
              </w:rPr>
              <w:t>Entity-Relationship Diagram</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SRS</w:t>
            </w:r>
          </w:p>
        </w:tc>
        <w:tc>
          <w:tcPr>
            <w:tcW w:type="dxa" w:w="6048"/>
            <w:shd w:fill="FFFFFF"/>
            <w:tcMar>
              <w:top w:w="50" w:type="dxa"/>
              <w:bottom w:w="50" w:type="dxa"/>
              <w:left w:w="90" w:type="dxa"/>
              <w:right w:w="90" w:type="dxa"/>
            </w:tcMar>
          </w:tcPr>
          <w:p>
            <w:pPr>
              <w:spacing w:after="0" w:before="0" w:line="252" w:lineRule="auto"/>
              <w:jc w:val="left"/>
            </w:pPr>
            <w:r>
              <w:rPr>
                <w:rFonts w:ascii="Calibri" w:hAnsi="Calibri"/>
                <w:color w:val="263238"/>
                <w:sz w:val="18"/>
              </w:rPr>
              <w:t>Software Requirements Specification (IEEE 830 Standard)</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UML</w:t>
            </w:r>
          </w:p>
        </w:tc>
        <w:tc>
          <w:tcPr>
            <w:tcW w:type="dxa" w:w="6048"/>
            <w:shd w:fill="F9FBE7"/>
            <w:tcMar>
              <w:top w:w="50" w:type="dxa"/>
              <w:bottom w:w="50" w:type="dxa"/>
              <w:left w:w="90" w:type="dxa"/>
              <w:right w:w="90" w:type="dxa"/>
            </w:tcMar>
          </w:tcPr>
          <w:p>
            <w:pPr>
              <w:spacing w:after="0" w:before="0" w:line="252" w:lineRule="auto"/>
              <w:jc w:val="left"/>
            </w:pPr>
            <w:r>
              <w:rPr>
                <w:rFonts w:ascii="Calibri" w:hAnsi="Calibri"/>
                <w:color w:val="263238"/>
                <w:sz w:val="18"/>
              </w:rPr>
              <w:t>Unified Modeling Language</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PV</w:t>
            </w:r>
          </w:p>
        </w:tc>
        <w:tc>
          <w:tcPr>
            <w:tcW w:type="dxa" w:w="6048"/>
            <w:shd w:fill="FFFFFF"/>
            <w:tcMar>
              <w:top w:w="50" w:type="dxa"/>
              <w:bottom w:w="50" w:type="dxa"/>
              <w:left w:w="90" w:type="dxa"/>
              <w:right w:w="90" w:type="dxa"/>
            </w:tcMar>
          </w:tcPr>
          <w:p>
            <w:pPr>
              <w:spacing w:after="0" w:before="0" w:line="252" w:lineRule="auto"/>
              <w:jc w:val="left"/>
            </w:pPr>
            <w:r>
              <w:rPr>
                <w:rFonts w:ascii="Calibri" w:hAnsi="Calibri"/>
                <w:color w:val="263238"/>
                <w:sz w:val="18"/>
              </w:rPr>
              <w:t>PlantVillage Dataset Benchmark</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API</w:t>
            </w:r>
          </w:p>
        </w:tc>
        <w:tc>
          <w:tcPr>
            <w:tcW w:type="dxa" w:w="6048"/>
            <w:shd w:fill="F9FBE7"/>
            <w:tcMar>
              <w:top w:w="50" w:type="dxa"/>
              <w:bottom w:w="50" w:type="dxa"/>
              <w:left w:w="90" w:type="dxa"/>
              <w:right w:w="90" w:type="dxa"/>
            </w:tcMar>
          </w:tcPr>
          <w:p>
            <w:pPr>
              <w:spacing w:after="0" w:before="0" w:line="252" w:lineRule="auto"/>
              <w:jc w:val="left"/>
            </w:pPr>
            <w:r>
              <w:rPr>
                <w:rFonts w:ascii="Calibri" w:hAnsi="Calibri"/>
                <w:color w:val="263238"/>
                <w:sz w:val="18"/>
              </w:rPr>
              <w:t>Application Programming Interface</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REST</w:t>
            </w:r>
          </w:p>
        </w:tc>
        <w:tc>
          <w:tcPr>
            <w:tcW w:type="dxa" w:w="6048"/>
            <w:shd w:fill="FFFFFF"/>
            <w:tcMar>
              <w:top w:w="50" w:type="dxa"/>
              <w:bottom w:w="50" w:type="dxa"/>
              <w:left w:w="90" w:type="dxa"/>
              <w:right w:w="90" w:type="dxa"/>
            </w:tcMar>
          </w:tcPr>
          <w:p>
            <w:pPr>
              <w:spacing w:after="0" w:before="0" w:line="252" w:lineRule="auto"/>
              <w:jc w:val="left"/>
            </w:pPr>
            <w:r>
              <w:rPr>
                <w:rFonts w:ascii="Calibri" w:hAnsi="Calibri"/>
                <w:color w:val="263238"/>
                <w:sz w:val="18"/>
              </w:rPr>
              <w:t>Representational State Transfer</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ASGI</w:t>
            </w:r>
          </w:p>
        </w:tc>
        <w:tc>
          <w:tcPr>
            <w:tcW w:type="dxa" w:w="6048"/>
            <w:shd w:fill="F9FBE7"/>
            <w:tcMar>
              <w:top w:w="50" w:type="dxa"/>
              <w:bottom w:w="50" w:type="dxa"/>
              <w:left w:w="90" w:type="dxa"/>
              <w:right w:w="90" w:type="dxa"/>
            </w:tcMar>
          </w:tcPr>
          <w:p>
            <w:pPr>
              <w:spacing w:after="0" w:before="0" w:line="252" w:lineRule="auto"/>
              <w:jc w:val="left"/>
            </w:pPr>
            <w:r>
              <w:rPr>
                <w:rFonts w:ascii="Calibri" w:hAnsi="Calibri"/>
                <w:color w:val="263238"/>
                <w:sz w:val="18"/>
              </w:rPr>
              <w:t>Asynchronous Server Gateway Interface</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RTM</w:t>
            </w:r>
          </w:p>
        </w:tc>
        <w:tc>
          <w:tcPr>
            <w:tcW w:type="dxa" w:w="6048"/>
            <w:shd w:fill="FFFFFF"/>
            <w:tcMar>
              <w:top w:w="50" w:type="dxa"/>
              <w:bottom w:w="50" w:type="dxa"/>
              <w:left w:w="90" w:type="dxa"/>
              <w:right w:w="90" w:type="dxa"/>
            </w:tcMar>
          </w:tcPr>
          <w:p>
            <w:pPr>
              <w:spacing w:after="0" w:before="0" w:line="252" w:lineRule="auto"/>
              <w:jc w:val="left"/>
            </w:pPr>
            <w:r>
              <w:rPr>
                <w:rFonts w:ascii="Calibri" w:hAnsi="Calibri"/>
                <w:color w:val="263238"/>
                <w:sz w:val="18"/>
              </w:rPr>
              <w:t>Requirements Traceability Matrix</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DoS</w:t>
            </w:r>
          </w:p>
        </w:tc>
        <w:tc>
          <w:tcPr>
            <w:tcW w:type="dxa" w:w="6048"/>
            <w:shd w:fill="F9FBE7"/>
            <w:tcMar>
              <w:top w:w="50" w:type="dxa"/>
              <w:bottom w:w="50" w:type="dxa"/>
              <w:left w:w="90" w:type="dxa"/>
              <w:right w:w="90" w:type="dxa"/>
            </w:tcMar>
          </w:tcPr>
          <w:p>
            <w:pPr>
              <w:spacing w:after="0" w:before="0" w:line="252" w:lineRule="auto"/>
              <w:jc w:val="left"/>
            </w:pPr>
            <w:r>
              <w:rPr>
                <w:rFonts w:ascii="Calibri" w:hAnsi="Calibri"/>
                <w:color w:val="263238"/>
                <w:sz w:val="18"/>
              </w:rPr>
              <w:t>Denial of Service (Payload Guard Protection)</w:t>
            </w:r>
          </w:p>
        </w:tc>
      </w:tr>
    </w:tbl>
    <w:p>
      <w:pPr>
        <w:spacing w:after="80"/>
      </w:pPr>
    </w:p>
    <w:p>
      <w:r>
        <w:br w:type="page"/>
      </w:r>
    </w:p>
    <w:p>
      <w:pPr>
        <w:keepNext/>
        <w:spacing w:before="360" w:after="120"/>
        <w:jc w:val="center"/>
      </w:pPr>
      <w:r>
        <w:rPr>
          <w:rFonts w:ascii="Calibri" w:hAnsi="Calibri"/>
          <w:b/>
          <w:color w:val="1B5E20"/>
          <w:sz w:val="30"/>
        </w:rPr>
        <w:t>CHAPTER 1: INTRODUCTION &amp; PROBLEM DEFINITION</w:t>
      </w:r>
    </w:p>
    <w:p>
      <w:pPr>
        <w:keepNext/>
        <w:spacing w:before="280" w:after="80"/>
      </w:pPr>
      <w:r>
        <w:rPr>
          <w:rFonts w:ascii="Calibri" w:hAnsi="Calibri"/>
          <w:b/>
          <w:color w:val="2E7D32"/>
          <w:sz w:val="26"/>
        </w:rPr>
        <w:t>1.1 Agricultural Background &amp; Economic Impact of Foliar Pathogens</w:t>
      </w:r>
    </w:p>
    <w:p>
      <w:pPr>
        <w:spacing w:before="0" w:after="90" w:line="276" w:lineRule="auto"/>
        <w:jc w:val="both"/>
        <w:widowControl/>
      </w:pPr>
      <w:r>
        <w:rPr>
          <w:rFonts w:ascii="Calibri" w:hAnsi="Calibri"/>
          <w:color w:val="263238"/>
          <w:sz w:val="24"/>
        </w:rPr>
        <w:t>Agriculture forms the foundational backbone of global human civilization, sustaining global food supplies, providing industrial raw materials, and employing over one-quarter of the worldwide workforce. In developing economies, agriculture represents not merely a commercial industry but the primary source of subsistence and economic security for hundreds of millions of smallholder farming families. However, agricultural productivity is under perpetual siege from biological pathogens, environmental stressors, and anthropogenically driven climate variations.</w:t>
      </w:r>
    </w:p>
    <w:p>
      <w:pPr>
        <w:spacing w:before="0" w:after="90" w:line="276" w:lineRule="auto"/>
        <w:jc w:val="both"/>
        <w:widowControl/>
      </w:pPr>
      <w:r>
        <w:rPr>
          <w:rFonts w:ascii="Calibri" w:hAnsi="Calibri"/>
          <w:color w:val="263238"/>
          <w:sz w:val="24"/>
        </w:rPr>
        <w:t>Among all threats to agronomic output, foliar plant diseases—manifesting primarily as bacterial blights, fungal rusts, powdery and downy mildews, viral mosaics, and necrotic leaf scorches—constitute the single most destructive vector of food insecurity. According to comprehensive epidemiological assessments published by the Food and Agriculture Organization (FAO) of the United Nations and the Centre for Agriculture and Bioscience International (CABI), foliar plant pathogens cause an estimated 20% to 40% reduction in global crop yields annually. In monetary terms, these foliar infestations inflict worldwide economic losses exceeding 20 billion each year, disproportionately impacting vulnerable agrarian communities across Asia, Africa, and Latin America.</w:t>
      </w:r>
    </w:p>
    <w:p>
      <w:pPr>
        <w:spacing w:before="0" w:after="90" w:line="276" w:lineRule="auto"/>
        <w:jc w:val="both"/>
        <w:widowControl/>
      </w:pPr>
      <w:r>
        <w:rPr>
          <w:rFonts w:ascii="Calibri" w:hAnsi="Calibri"/>
          <w:color w:val="263238"/>
          <w:sz w:val="24"/>
        </w:rPr>
        <w:t>Foliar pathogens compromise agricultural yield through multiple biological mechanisms:</w:t>
      </w:r>
    </w:p>
    <w:p>
      <w:pPr>
        <w:pStyle w:val="ListBullet"/>
        <w:spacing w:before="0" w:after="60" w:line="276" w:lineRule="auto"/>
        <w:jc w:val="both"/>
        <w:widowControl/>
      </w:pPr>
      <w:r>
        <w:rPr>
          <w:rFonts w:ascii="Calibri" w:hAnsi="Calibri"/>
          <w:b/>
          <w:color w:val="2E7D32"/>
          <w:sz w:val="24"/>
        </w:rPr>
        <w:t xml:space="preserve">1. Photosynthetic Disruption: </w:t>
      </w:r>
      <w:r>
        <w:rPr>
          <w:rFonts w:ascii="Calibri" w:hAnsi="Calibri"/>
          <w:color w:val="263238"/>
          <w:sz w:val="24"/>
        </w:rPr>
        <w:t>Fungal spores (e.g., Phytophthora infestans in Solanaceae or Puccinia graminis in Poaceae) germinate across the stomatal openings of leaf blades, colonizing mesophyll tissues and triggering rapid necrotic lesions that reduce the effective photosynthetic surface area of the host plant.</w:t>
      </w:r>
    </w:p>
    <w:p>
      <w:pPr>
        <w:pStyle w:val="ListBullet"/>
        <w:spacing w:before="0" w:after="60" w:line="276" w:lineRule="auto"/>
        <w:jc w:val="both"/>
        <w:widowControl/>
      </w:pPr>
      <w:r>
        <w:rPr>
          <w:rFonts w:ascii="Calibri" w:hAnsi="Calibri"/>
          <w:b/>
          <w:color w:val="2E7D32"/>
          <w:sz w:val="24"/>
        </w:rPr>
        <w:t xml:space="preserve">2. Vascular &amp; Enzymatic Blockage: </w:t>
      </w:r>
      <w:r>
        <w:rPr>
          <w:rFonts w:ascii="Calibri" w:hAnsi="Calibri"/>
          <w:color w:val="263238"/>
          <w:sz w:val="24"/>
        </w:rPr>
        <w:t>Bacterial pathogens (such as Xanthomonas campestris) enter through natural hydathodes or mechanical harvest abrasions, proliferating through the vascular parenchyma and causing systemic chlorosis, wilting, and catastrophic organ collapse.</w:t>
      </w:r>
    </w:p>
    <w:p>
      <w:pPr>
        <w:pStyle w:val="ListBullet"/>
        <w:spacing w:before="0" w:after="60" w:line="276" w:lineRule="auto"/>
        <w:jc w:val="both"/>
        <w:widowControl/>
      </w:pPr>
      <w:r>
        <w:rPr>
          <w:rFonts w:ascii="Calibri" w:hAnsi="Calibri"/>
          <w:b/>
          <w:color w:val="2E7D32"/>
          <w:sz w:val="24"/>
        </w:rPr>
        <w:t xml:space="preserve">3. Systemic Cellular Reprogramming: </w:t>
      </w:r>
      <w:r>
        <w:rPr>
          <w:rFonts w:ascii="Calibri" w:hAnsi="Calibri"/>
          <w:color w:val="263238"/>
          <w:sz w:val="24"/>
        </w:rPr>
        <w:t>Viral vectors (predominantly transmitted via insect vectors such as whiteflies and aphids, including Tomato Yellow Leaf Curl Virus) reprogram host cellular transcription, arresting apical growth, causing leaf rolling, and permanently depressing fruit maturation.</w:t>
      </w:r>
    </w:p>
    <w:p>
      <w:pPr>
        <w:spacing w:before="0" w:after="90" w:line="276" w:lineRule="auto"/>
        <w:jc w:val="both"/>
        <w:widowControl/>
      </w:pPr>
      <w:r>
        <w:rPr>
          <w:rFonts w:ascii="Calibri" w:hAnsi="Calibri"/>
          <w:color w:val="263238"/>
          <w:sz w:val="24"/>
        </w:rPr>
        <w:t>The consequences of unmitigated foliar outbreaks extend far beyond direct farmgate yield depression. Late-stage fungal sporulation frequently results in complete crop loss, triggering localized food shortages, market price volatility, and catastrophic debt accumulation for smallholder farming households. Consequently, rapid, reliable, and accessible foliar diagnosis is universally recognized as the single most critical intervention point for mitigating crop failure.</w:t>
      </w:r>
    </w:p>
    <w:p>
      <w:pPr>
        <w:keepNext/>
        <w:spacing w:before="280" w:after="80"/>
      </w:pPr>
      <w:r>
        <w:rPr>
          <w:rFonts w:ascii="Calibri" w:hAnsi="Calibri"/>
          <w:b/>
          <w:color w:val="2E7D32"/>
          <w:sz w:val="26"/>
        </w:rPr>
        <w:t>1.2 Existing Diagnostic Paradigms &amp; Their Bottlenecks</w:t>
      </w:r>
    </w:p>
    <w:p>
      <w:pPr>
        <w:spacing w:before="0" w:after="90" w:line="276" w:lineRule="auto"/>
        <w:jc w:val="both"/>
        <w:widowControl/>
      </w:pPr>
      <w:r>
        <w:rPr>
          <w:rFonts w:ascii="Calibri" w:hAnsi="Calibri"/>
          <w:color w:val="263238"/>
          <w:sz w:val="24"/>
        </w:rPr>
        <w:t>To maintain foliar health, modern agronomy relies on three traditional diagnostic paradigms, each compromised by fundamental operational bottlenecks:</w:t>
      </w:r>
    </w:p>
    <w:p>
      <w:pPr>
        <w:pStyle w:val="ListBullet"/>
        <w:spacing w:before="0" w:after="60" w:line="276" w:lineRule="auto"/>
        <w:jc w:val="both"/>
        <w:widowControl/>
      </w:pPr>
      <w:r>
        <w:rPr>
          <w:rFonts w:ascii="Calibri" w:hAnsi="Calibri"/>
          <w:b/>
          <w:color w:val="2E7D32"/>
          <w:sz w:val="24"/>
        </w:rPr>
        <w:t xml:space="preserve">A. Manual Field Scouting &amp; Visual Heuristics: </w:t>
      </w:r>
      <w:r>
        <w:rPr>
          <w:rFonts w:ascii="Calibri" w:hAnsi="Calibri"/>
          <w:color w:val="263238"/>
          <w:sz w:val="24"/>
        </w:rPr>
        <w:t>Traditionally, farmers inspect foliage visually to identify disease lesions. While zero-cost, human scouting is inherently subjective and error-prone. Early-stage foliar infections manifest as microscopic chlorotic flecks that are visually indistinguishable between fungal, bacterial, and nutritional disorders. By the time characteristic visual markers emerge (e.g., concentric rings in Early Blight or dark water-soaked lesions in Late Blight), the pathogen has colonized deep internal leaf tissue, severely diminishing chemical control efficacy.</w:t>
      </w:r>
    </w:p>
    <w:p>
      <w:pPr>
        <w:pStyle w:val="ListBullet"/>
        <w:spacing w:before="0" w:after="60" w:line="276" w:lineRule="auto"/>
        <w:jc w:val="both"/>
        <w:widowControl/>
      </w:pPr>
      <w:r>
        <w:rPr>
          <w:rFonts w:ascii="Calibri" w:hAnsi="Calibri"/>
          <w:b/>
          <w:color w:val="2E7D32"/>
          <w:sz w:val="24"/>
        </w:rPr>
        <w:t xml:space="preserve">B. Laboratory Molecular Assays: </w:t>
      </w:r>
      <w:r>
        <w:rPr>
          <w:rFonts w:ascii="Calibri" w:hAnsi="Calibri"/>
          <w:color w:val="263238"/>
          <w:sz w:val="24"/>
        </w:rPr>
        <w:t>Suspected foliar tissue samples are harvested and dispatched to centralized state or university pathology laboratories for molecular diagnostic assays, including Polymerase Chain Reaction (PCR), Enzyme-Linked Immunosorbent Assay (ELISA), and high-throughput pathogen genome sequencing. While scientifically rigorous with diagnostic accuracy exceeding 99%, laboratory testing is economically and logistically inaccessible to the vast majority of smallholder farmers. Each assay incurs substantial financial expense (0 to 00 per leaf sample) and requires multi-day sample transit latencies (3 to 7 business days)—by which time aggressive epidemics have already devastated entire fields.</w:t>
      </w:r>
    </w:p>
    <w:p>
      <w:pPr>
        <w:pStyle w:val="ListBullet"/>
        <w:spacing w:before="0" w:after="60" w:line="276" w:lineRule="auto"/>
        <w:jc w:val="both"/>
        <w:widowControl/>
      </w:pPr>
      <w:r>
        <w:rPr>
          <w:rFonts w:ascii="Calibri" w:hAnsi="Calibri"/>
          <w:b/>
          <w:color w:val="2E7D32"/>
          <w:sz w:val="24"/>
        </w:rPr>
        <w:t xml:space="preserve">C. Commercial Mobile Vision Applications: </w:t>
      </w:r>
      <w:r>
        <w:rPr>
          <w:rFonts w:ascii="Calibri" w:hAnsi="Calibri"/>
          <w:color w:val="263238"/>
          <w:sz w:val="24"/>
        </w:rPr>
        <w:t>The proliferation of smartphones in rural regions prompted early computer vision applications. However, existing commercial and academic mobile apps suffer from a severe architectural flaw: they are siloed into single-crop narrow classifications. A farmer cultivating potato, tomato, and bell pepper must switch between separate specialized models. Furthermore, traditional mobile tools enforce closed-world assumptions: when presented with a non-leaf background object (such as soil, hands, clothing, or weeds), their uncalibrated softmax output emits a falsely confident disease diagnosis, leading to catastrophic misapplication of expensive and hazardous chemical pesticides.</w:t>
      </w:r>
    </w:p>
    <w:p>
      <w:pPr>
        <w:keepNext/>
        <w:spacing w:before="280" w:after="80"/>
      </w:pPr>
      <w:r>
        <w:rPr>
          <w:rFonts w:ascii="Calibri" w:hAnsi="Calibri"/>
          <w:b/>
          <w:color w:val="2E7D32"/>
          <w:sz w:val="26"/>
        </w:rPr>
        <w:t>1.3 Computer Vision in Precision Agriculture &amp; CNN Inductive Bias</w:t>
      </w:r>
    </w:p>
    <w:p>
      <w:pPr>
        <w:spacing w:before="0" w:after="90" w:line="276" w:lineRule="auto"/>
        <w:jc w:val="both"/>
        <w:widowControl/>
      </w:pPr>
      <w:r>
        <w:rPr>
          <w:rFonts w:ascii="Calibri" w:hAnsi="Calibri"/>
          <w:color w:val="263238"/>
          <w:sz w:val="24"/>
        </w:rPr>
        <w:t>The evolution of computer vision in foliar pathology spans two distinct historical epochs. Between 2005 and 2014, classical computational methods relied on handcrafted feature engineering. Researchers extracted Gray-Level Co-occurrence Matrices (GLCM), Color Co-occurrence Matrices (CCM), and Scale-Invariant Feature Transform (SIFT) descriptors, pairing them with Support Vector Machines (SVM) or Random Forest classifiers. While computationally lightweight, these handcrafted pipelines were brittle: minor variations in solar illumination angle, shadows, camera sensor noise, or foliar orientation caused catastrophic classification failure.</w:t>
      </w:r>
    </w:p>
    <w:p>
      <w:pPr>
        <w:spacing w:before="0" w:after="90" w:line="276" w:lineRule="auto"/>
        <w:jc w:val="both"/>
        <w:widowControl/>
      </w:pPr>
      <w:r>
        <w:rPr>
          <w:rFonts w:ascii="Calibri" w:hAnsi="Calibri"/>
          <w:color w:val="263238"/>
          <w:sz w:val="24"/>
        </w:rPr>
        <w:t>The advent of Deep Convolutional Neural Networks (CNNs) in 2015—exemplified by AlexNet, VGG-16, and ResNet-50—fundamentally transformed agricultural imaging by learning hierarchical representations directly from raw pixels. Convolutions operate through local linear filters followed by non-linear activations, capturing fine edge gradients in early layers and compound textures in deeper layers.</w:t>
      </w:r>
    </w:p>
    <w:p>
      <w:pPr>
        <w:spacing w:before="0" w:after="90" w:line="276" w:lineRule="auto"/>
        <w:jc w:val="both"/>
        <w:widowControl/>
      </w:pPr>
      <w:r>
        <w:rPr>
          <w:rFonts w:ascii="Calibri" w:hAnsi="Calibri"/>
          <w:color w:val="263238"/>
          <w:sz w:val="24"/>
        </w:rPr>
        <w:t>Despite their historical success, CNNs possess inherent architectural inductive biases that severely limit their performance in real-world agricultural environments:</w:t>
      </w:r>
    </w:p>
    <w:p>
      <w:pPr>
        <w:pStyle w:val="ListBullet"/>
        <w:spacing w:before="0" w:after="60" w:line="276" w:lineRule="auto"/>
        <w:jc w:val="both"/>
        <w:widowControl/>
      </w:pPr>
      <w:r>
        <w:rPr>
          <w:rFonts w:ascii="Calibri" w:hAnsi="Calibri"/>
          <w:b/>
          <w:color w:val="2E7D32"/>
          <w:sz w:val="24"/>
        </w:rPr>
        <w:t xml:space="preserve">1. Locality &amp; Restricted Receptive Fields: </w:t>
      </w:r>
      <w:r>
        <w:rPr>
          <w:rFonts w:ascii="Calibri" w:hAnsi="Calibri"/>
          <w:color w:val="263238"/>
          <w:sz w:val="24"/>
        </w:rPr>
        <w:t>A standard convolutional kernel operates across a restricted spatial footprint (typically 3x3 or 5x5 pixels). To capture global interactions between distant areas of a large leaf, deep CNNs require deep stacks of convolutions and pooling operations. However, this progressive pooling aggressively downsamples spatial resolution, discarding high-frequency lesion boundaries and fine fungal veining.</w:t>
      </w:r>
    </w:p>
    <w:p>
      <w:pPr>
        <w:pStyle w:val="ListBullet"/>
        <w:spacing w:before="0" w:after="60" w:line="276" w:lineRule="auto"/>
        <w:jc w:val="both"/>
        <w:widowControl/>
      </w:pPr>
      <w:r>
        <w:rPr>
          <w:rFonts w:ascii="Calibri" w:hAnsi="Calibri"/>
          <w:b/>
          <w:color w:val="2E7D32"/>
          <w:sz w:val="24"/>
        </w:rPr>
        <w:t xml:space="preserve">2. Translation Equivariance Limitations: </w:t>
      </w:r>
      <w:r>
        <w:rPr>
          <w:rFonts w:ascii="Calibri" w:hAnsi="Calibri"/>
          <w:color w:val="263238"/>
          <w:sz w:val="24"/>
        </w:rPr>
        <w:t>Convolutions enforce translation equivariance—assuming an image feature has identical meaning regardless of spatial coordinates. In foliar pathology, however, spatial location is biologically critical: chlorosis localized strictly along leaf margins indicates potassium deficiency or bacterial scorch, whereas chlorosis localized between veins indicates magnesium deficiency or systemic virus.</w:t>
      </w:r>
    </w:p>
    <w:p>
      <w:pPr>
        <w:pStyle w:val="ListBullet"/>
        <w:spacing w:before="0" w:after="60" w:line="276" w:lineRule="auto"/>
        <w:jc w:val="both"/>
        <w:widowControl/>
      </w:pPr>
      <w:r>
        <w:rPr>
          <w:rFonts w:ascii="Calibri" w:hAnsi="Calibri"/>
          <w:b/>
          <w:color w:val="2E7D32"/>
          <w:sz w:val="24"/>
        </w:rPr>
        <w:t xml:space="preserve">3. Sensitivity to Background Clutter: </w:t>
      </w:r>
      <w:r>
        <w:rPr>
          <w:rFonts w:ascii="Calibri" w:hAnsi="Calibri"/>
          <w:color w:val="263238"/>
          <w:sz w:val="24"/>
        </w:rPr>
        <w:t>In real-world fields, crop leaves overlap against complex soil clutter, agricultural mulch, ambient sunlight glare, and shadows. CNN kernels frequently fixate on high-contrast background edges rather than subtle foliar lesions, resulting in high laboratory accuracy that collapses in real field deployments.</w:t>
      </w:r>
    </w:p>
    <w:p>
      <w:pPr>
        <w:keepNext/>
        <w:spacing w:before="160" w:after="40"/>
        <w:jc w:val="center"/>
      </w:pPr>
      <w:r>
        <w:drawing>
          <wp:inline xmlns:a="http://schemas.openxmlformats.org/drawingml/2006/main" xmlns:pic="http://schemas.openxmlformats.org/drawingml/2006/picture">
            <wp:extent cx="4754880" cy="2504163"/>
            <wp:docPr id="2" name="Picture 2"/>
            <wp:cNvGraphicFramePr>
              <a:graphicFrameLocks noChangeAspect="1"/>
            </wp:cNvGraphicFramePr>
            <a:graphic>
              <a:graphicData uri="http://schemas.openxmlformats.org/drawingml/2006/picture">
                <pic:pic>
                  <pic:nvPicPr>
                    <pic:cNvPr id="0" name="fig_1_1_field_vs_lab.png"/>
                    <pic:cNvPicPr/>
                  </pic:nvPicPr>
                  <pic:blipFill>
                    <a:blip r:embed="rId12"/>
                    <a:stretch>
                      <a:fillRect/>
                    </a:stretch>
                  </pic:blipFill>
                  <pic:spPr>
                    <a:xfrm>
                      <a:off x="0" y="0"/>
                      <a:ext cx="4754880" cy="2504163"/>
                    </a:xfrm>
                    <a:prstGeom prst="rect"/>
                  </pic:spPr>
                </pic:pic>
              </a:graphicData>
            </a:graphic>
          </wp:inline>
        </w:drawing>
      </w:r>
    </w:p>
    <w:p>
      <w:pPr>
        <w:keepNext w:val="0"/>
        <w:spacing w:before="40" w:after="40"/>
        <w:jc w:val="center"/>
      </w:pPr>
      <w:r>
        <w:rPr>
          <w:rFonts w:ascii="Calibri" w:hAnsi="Calibri"/>
          <w:b/>
          <w:color w:val="323232"/>
          <w:sz w:val="19"/>
        </w:rPr>
        <w:t>Fig. 1.1: Resolution and environmental gap between PlantVillage lab samples and noisy real-world field leaves</w:t>
      </w:r>
    </w:p>
    <w:p>
      <w:pPr>
        <w:keepNext/>
        <w:spacing w:before="280" w:after="80"/>
      </w:pPr>
      <w:r>
        <w:rPr>
          <w:rFonts w:ascii="Calibri" w:hAnsi="Calibri"/>
          <w:b/>
          <w:color w:val="2E7D32"/>
          <w:sz w:val="26"/>
        </w:rPr>
        <w:t>1.4 Motivation for Vision Transformers &amp; Decoupled Dual-Head Modeling</w:t>
      </w:r>
    </w:p>
    <w:p>
      <w:pPr>
        <w:spacing w:before="0" w:after="90" w:line="276" w:lineRule="auto"/>
        <w:jc w:val="both"/>
        <w:widowControl/>
      </w:pPr>
      <w:r>
        <w:rPr>
          <w:rFonts w:ascii="Calibri" w:hAnsi="Calibri"/>
          <w:color w:val="263238"/>
          <w:sz w:val="24"/>
        </w:rPr>
        <w:t>To overcome the localized receptive field limitations of CNNs, this dissertation pivots to the Vision Transformer (ViT) architecture introduced by Dosovitskiy et al. (2020). By discarding spatial convolutions in favor of self-attention mechanisms, ViT models process image patches as equivalent to sequence tokens in natural language. Every single patch attends to every other patch across the entire image beginning at the very first encoder layer, empowering the model to construct long-range relational dependencies across opposite ends of a leaf blade.</w:t>
      </w:r>
    </w:p>
    <w:p>
      <w:pPr>
        <w:spacing w:before="0" w:after="90" w:line="276" w:lineRule="auto"/>
        <w:jc w:val="both"/>
        <w:widowControl/>
      </w:pPr>
      <w:r>
        <w:rPr>
          <w:rFonts w:ascii="Calibri" w:hAnsi="Calibri"/>
          <w:color w:val="263238"/>
          <w:sz w:val="24"/>
        </w:rPr>
        <w:t>Crucially, standard academic classification models formulate plant pathology as a monolithic multi-class problem with C distinct classes (e.g. 38 classes in standard PlantVillage). When expanding this approach to cover modern commercial agriculture encompassing 55 crops and 175 pathological conditions, the monolithic approach collapses: the combinatorial explosion yields an immense class output space that suffers from extreme sample sparsity and gradient interference.</w:t>
      </w:r>
    </w:p>
    <w:p>
      <w:pPr>
        <w:spacing w:before="0" w:after="90" w:line="276" w:lineRule="auto"/>
        <w:jc w:val="both"/>
        <w:widowControl/>
      </w:pPr>
      <w:r>
        <w:rPr>
          <w:rFonts w:ascii="Calibri" w:hAnsi="Calibri"/>
          <w:color w:val="263238"/>
          <w:sz w:val="24"/>
        </w:rPr>
        <w:t>To resolve this fundamental dilemma, we propose a decoupled Dual-Head Vision Transformer (DPD ViT-Base). Biologically, foliar pathology is governed by two independent yet intersecting taxonomic axes:</w:t>
      </w:r>
    </w:p>
    <w:p>
      <w:pPr>
        <w:pStyle w:val="ListBullet"/>
        <w:spacing w:before="0" w:after="60" w:line="276" w:lineRule="auto"/>
        <w:jc w:val="both"/>
        <w:widowControl/>
      </w:pPr>
      <w:r>
        <w:rPr>
          <w:rFonts w:ascii="Calibri" w:hAnsi="Calibri"/>
          <w:b/>
          <w:color w:val="2E7D32"/>
          <w:sz w:val="24"/>
        </w:rPr>
        <w:t xml:space="preserve">1. Botanical Identity (Plant Head): </w:t>
      </w:r>
      <w:r>
        <w:rPr>
          <w:rFonts w:ascii="Calibri" w:hAnsi="Calibri"/>
          <w:color w:val="263238"/>
          <w:sz w:val="24"/>
        </w:rPr>
        <w:t>Determined by macroscopic foliar geometry, venation structure, leaf margins, and botanical texture.</w:t>
      </w:r>
    </w:p>
    <w:p>
      <w:pPr>
        <w:pStyle w:val="ListBullet"/>
        <w:spacing w:before="0" w:after="60" w:line="276" w:lineRule="auto"/>
        <w:jc w:val="both"/>
        <w:widowControl/>
      </w:pPr>
      <w:r>
        <w:rPr>
          <w:rFonts w:ascii="Calibri" w:hAnsi="Calibri"/>
          <w:b/>
          <w:color w:val="2E7D32"/>
          <w:sz w:val="24"/>
        </w:rPr>
        <w:t xml:space="preserve">2. Pathological Condition (Disease Head): </w:t>
      </w:r>
      <w:r>
        <w:rPr>
          <w:rFonts w:ascii="Calibri" w:hAnsi="Calibri"/>
          <w:color w:val="263238"/>
          <w:sz w:val="24"/>
        </w:rPr>
        <w:t>Determined by microscopic fungal spore patterning, necrotic lesion discoloration, halos, and bacterial exudate.</w:t>
      </w:r>
    </w:p>
    <w:p>
      <w:pPr>
        <w:spacing w:before="0" w:after="90" w:line="276" w:lineRule="auto"/>
        <w:jc w:val="both"/>
        <w:widowControl/>
      </w:pPr>
      <w:r>
        <w:rPr>
          <w:rFonts w:ascii="Calibri" w:hAnsi="Calibri"/>
          <w:color w:val="263238"/>
          <w:sz w:val="24"/>
        </w:rPr>
        <w:t>By sharing a deep 768-dimensional latent Vision Transformer representation while projecting into separate, decoupled Plant (55 classes) and Disease (175 classes) linear heads, the model learns generalized botanical morphology and generalized pathological lesions independently. This biological decoupling dramatically enhances transfer learning, prevents overfitting, and enables rigorous joint probability calibration across 333 valid biological pairs.</w:t>
      </w:r>
    </w:p>
    <w:p>
      <w:pPr>
        <w:keepNext/>
        <w:spacing w:before="280" w:after="80"/>
      </w:pPr>
      <w:r>
        <w:rPr>
          <w:rFonts w:ascii="Calibri" w:hAnsi="Calibri"/>
          <w:b/>
          <w:color w:val="2E7D32"/>
          <w:sz w:val="26"/>
        </w:rPr>
        <w:t>1.5 Problem Statement &amp; Research Objectives</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FORMAL PROBLEM STATEMENT</w:t>
            </w:r>
          </w:p>
          <w:p>
            <w:pPr>
              <w:spacing w:before="0" w:after="40" w:line="276" w:lineRule="auto"/>
              <w:jc w:val="left"/>
            </w:pPr>
            <w:r>
              <w:rPr>
                <w:rFonts w:ascii="Calibri" w:hAnsi="Calibri"/>
                <w:color w:val="263238"/>
                <w:sz w:val="20"/>
              </w:rPr>
              <w:t>Given an arbitrary foliar image x in R^{H x W x 3} captured under unconstrained field conditions, design and engineer a robust deep learning system that accurately determines whether x contains a valid crop leaf. If valid, the system must independently identify the botanical crop species i in {1, ..., 55} and pathological condition j in {1, ..., 175}, enforce biological taxonomy validity across 333 candidate pairs, compute a monotonically calibrated geometric confidence score, gate out-of-distribution background artifacts, and synthesize an actionable 5-pillar agronomic treatment prescription with automated clinical PDF reporting.</w:t>
            </w:r>
          </w:p>
        </w:tc>
      </w:tr>
    </w:tbl>
    <w:p>
      <w:pPr>
        <w:spacing w:after="80"/>
      </w:pPr>
    </w:p>
    <w:p>
      <w:pPr>
        <w:spacing w:before="0" w:after="90" w:line="276" w:lineRule="auto"/>
        <w:jc w:val="both"/>
        <w:widowControl/>
      </w:pPr>
      <w:r>
        <w:rPr>
          <w:rFonts w:ascii="Calibri" w:hAnsi="Calibri"/>
          <w:color w:val="263238"/>
          <w:sz w:val="24"/>
        </w:rPr>
        <w:t>To systematically resolve this problem, this dissertation executes six measurable research objectives:</w:t>
      </w:r>
    </w:p>
    <w:p>
      <w:pPr>
        <w:pStyle w:val="ListBullet"/>
        <w:spacing w:before="0" w:after="60" w:line="276" w:lineRule="auto"/>
        <w:jc w:val="both"/>
        <w:widowControl/>
      </w:pPr>
      <w:r>
        <w:rPr>
          <w:rFonts w:ascii="Calibri" w:hAnsi="Calibri"/>
          <w:b/>
          <w:color w:val="2E7D32"/>
          <w:sz w:val="24"/>
        </w:rPr>
        <w:t xml:space="preserve">RO-1 (Taxonomic Formulation): </w:t>
      </w:r>
      <w:r>
        <w:rPr>
          <w:rFonts w:ascii="Calibri" w:hAnsi="Calibri"/>
          <w:color w:val="263238"/>
          <w:sz w:val="24"/>
        </w:rPr>
        <w:t>Curate and structure a comprehensive multi-crop foliar taxonomy encompassing 55 botanical crop species, 175 foliar disease conditions, and 333 biologically validated crop-disease co-occurrence pairs.</w:t>
      </w:r>
    </w:p>
    <w:p>
      <w:pPr>
        <w:pStyle w:val="ListBullet"/>
        <w:spacing w:before="0" w:after="60" w:line="276" w:lineRule="auto"/>
        <w:jc w:val="both"/>
        <w:widowControl/>
      </w:pPr>
      <w:r>
        <w:rPr>
          <w:rFonts w:ascii="Calibri" w:hAnsi="Calibri"/>
          <w:b/>
          <w:color w:val="2E7D32"/>
          <w:sz w:val="24"/>
        </w:rPr>
        <w:t xml:space="preserve">RO-2 (Neural Architecture): </w:t>
      </w:r>
      <w:r>
        <w:rPr>
          <w:rFonts w:ascii="Calibri" w:hAnsi="Calibri"/>
          <w:color w:val="263238"/>
          <w:sz w:val="24"/>
        </w:rPr>
        <w:t>Design and adapt a Dual-Head Vision Transformer (DPD ViT-Base/16) utilizing a 768-dimensional shared latent backbone driving parallel 55-class plant and 175-class disease linear projection heads.</w:t>
      </w:r>
    </w:p>
    <w:p>
      <w:pPr>
        <w:pStyle w:val="ListBullet"/>
        <w:spacing w:before="0" w:after="60" w:line="276" w:lineRule="auto"/>
        <w:jc w:val="both"/>
        <w:widowControl/>
      </w:pPr>
      <w:r>
        <w:rPr>
          <w:rFonts w:ascii="Calibri" w:hAnsi="Calibri"/>
          <w:b/>
          <w:color w:val="2E7D32"/>
          <w:sz w:val="24"/>
        </w:rPr>
        <w:t xml:space="preserve">RO-3 (Confidence Calibration): </w:t>
      </w:r>
      <w:r>
        <w:rPr>
          <w:rFonts w:ascii="Calibri" w:hAnsi="Calibri"/>
          <w:color w:val="263238"/>
          <w:sz w:val="24"/>
        </w:rPr>
        <w:t>Mathematically formulate and implement a joint-likelihood geometric-mean confidence calibration metric S = sqrt(max(0, P_P * P_D)) * 100 with an empirical 40.0% Out-of-Distribution gating threshold to eliminate non-crop false alarms.</w:t>
      </w:r>
    </w:p>
    <w:p>
      <w:pPr>
        <w:pStyle w:val="ListBullet"/>
        <w:spacing w:before="0" w:after="60" w:line="276" w:lineRule="auto"/>
        <w:jc w:val="both"/>
        <w:widowControl/>
      </w:pPr>
      <w:r>
        <w:rPr>
          <w:rFonts w:ascii="Calibri" w:hAnsi="Calibri"/>
          <w:b/>
          <w:color w:val="2E7D32"/>
          <w:sz w:val="24"/>
        </w:rPr>
        <w:t xml:space="preserve">RO-4 (Agronomic Advisory Engine): </w:t>
      </w:r>
      <w:r>
        <w:rPr>
          <w:rFonts w:ascii="Calibri" w:hAnsi="Calibri"/>
          <w:color w:val="263238"/>
          <w:sz w:val="24"/>
        </w:rPr>
        <w:t>Develop a domain-specific agricultural advisory engine mapping all 333 supported pairs to comprehensive 5-pillar treatment protocols (Symptoms, Cause, Organic Remedies, Chemical Dosages, and Preventive Cultural Measures).</w:t>
      </w:r>
    </w:p>
    <w:p>
      <w:pPr>
        <w:pStyle w:val="ListBullet"/>
        <w:spacing w:before="0" w:after="60" w:line="276" w:lineRule="auto"/>
        <w:jc w:val="both"/>
        <w:widowControl/>
      </w:pPr>
      <w:r>
        <w:rPr>
          <w:rFonts w:ascii="Calibri" w:hAnsi="Calibri"/>
          <w:b/>
          <w:color w:val="2E7D32"/>
          <w:sz w:val="24"/>
        </w:rPr>
        <w:t xml:space="preserve">RO-5 (Full-Stack Production Service): </w:t>
      </w:r>
      <w:r>
        <w:rPr>
          <w:rFonts w:ascii="Calibri" w:hAnsi="Calibri"/>
          <w:color w:val="263238"/>
          <w:sz w:val="24"/>
        </w:rPr>
        <w:t>Engineer an asynchronous FastAPI backend service with SQLite Write-Ahead Logging (WAL) concurrency, IDOR access controls, and automated ReportLab clinical PDF generation.</w:t>
      </w:r>
    </w:p>
    <w:p>
      <w:pPr>
        <w:pStyle w:val="ListBullet"/>
        <w:spacing w:before="0" w:after="60" w:line="276" w:lineRule="auto"/>
        <w:jc w:val="both"/>
        <w:widowControl/>
      </w:pPr>
      <w:r>
        <w:rPr>
          <w:rFonts w:ascii="Calibri" w:hAnsi="Calibri"/>
          <w:b/>
          <w:color w:val="2E7D32"/>
          <w:sz w:val="24"/>
        </w:rPr>
        <w:t xml:space="preserve">RO-6 (Testing &amp; Empirical Evaluation): </w:t>
      </w:r>
      <w:r>
        <w:rPr>
          <w:rFonts w:ascii="Calibri" w:hAnsi="Calibri"/>
          <w:color w:val="263238"/>
          <w:sz w:val="24"/>
        </w:rPr>
        <w:t>Execute an exhaustive 25-case software verification suite and quantitative benchmarking comparing the proposed DPD ViT-Base against CNN baselines (ResNet-50, VGG-16, MobileNetV3) across accuracy, latency, and out-of-distribution rejection.</w:t>
      </w:r>
    </w:p>
    <w:p>
      <w:pPr>
        <w:keepNext/>
        <w:spacing w:before="280" w:after="80"/>
      </w:pPr>
      <w:r>
        <w:rPr>
          <w:rFonts w:ascii="Calibri" w:hAnsi="Calibri"/>
          <w:b/>
          <w:color w:val="2E7D32"/>
          <w:sz w:val="26"/>
        </w:rPr>
        <w:t>1.6 Scope &amp; Limitations of the Dissertation</w:t>
      </w:r>
    </w:p>
    <w:p>
      <w:pPr>
        <w:spacing w:before="0" w:after="90" w:line="276" w:lineRule="auto"/>
        <w:jc w:val="both"/>
        <w:widowControl/>
      </w:pPr>
      <w:r>
        <w:rPr>
          <w:rFonts w:ascii="Calibri" w:hAnsi="Calibri"/>
          <w:color w:val="263238"/>
          <w:sz w:val="24"/>
        </w:rPr>
        <w:t>The functional scope of this dissertation encompasses foliar diagnosis across 55 commercially significant agricultural crops, including Solanaceae (potato, tomato, pepper, eggplant), Cucurbitaceae (cucumber, squash, melon), Poaceae (corn, wheat, rice), Rosaceae (apple, peach, cherry, strawberry), and Fabaceae (soybean, bean, pea). The system supports 175 discrete pathological conditions, including fungal leaf blights, powdery and downy mildews, bacterial leaf spots, viral mosaics, nutrient deficiency chlorosis, and verified healthy foliage.</w:t>
      </w:r>
    </w:p>
    <w:p>
      <w:pPr>
        <w:spacing w:before="0" w:after="90" w:line="276" w:lineRule="auto"/>
        <w:jc w:val="both"/>
        <w:widowControl/>
      </w:pPr>
      <w:r>
        <w:rPr>
          <w:rFonts w:ascii="Calibri" w:hAnsi="Calibri"/>
          <w:color w:val="263238"/>
          <w:sz w:val="24"/>
        </w:rPr>
        <w:t>Operational limitations include: (1) the model requires foliar photographs where the infected or healthy leaf constitutes the primary focal subject; (2) severe multi-pathogen co-infections occurring simultaneously on an identical leaf spot are expressed through differential Top-3 rankings rather than multi-label pixel segmentation masks; and (3) real-time sub-150ms inference requires GPU acceleration (NVIDIA CUDA), while CPU-only execution averages 1350ms.</w:t>
      </w:r>
    </w:p>
    <w:p>
      <w:pPr>
        <w:keepNext/>
        <w:spacing w:before="280" w:after="80"/>
      </w:pPr>
      <w:r>
        <w:rPr>
          <w:rFonts w:ascii="Calibri" w:hAnsi="Calibri"/>
          <w:b/>
          <w:color w:val="2E7D32"/>
          <w:sz w:val="26"/>
        </w:rPr>
        <w:t>1.7 Organization of the Dissertation</w:t>
      </w:r>
    </w:p>
    <w:p>
      <w:pPr>
        <w:spacing w:before="0" w:after="90" w:line="276" w:lineRule="auto"/>
        <w:jc w:val="both"/>
        <w:widowControl/>
      </w:pPr>
      <w:r>
        <w:rPr>
          <w:rFonts w:ascii="Calibri" w:hAnsi="Calibri"/>
          <w:color w:val="263238"/>
          <w:sz w:val="24"/>
        </w:rPr>
        <w:t>The remainder of this dissertation report is structured into seven subsequent chapters:</w:t>
      </w:r>
    </w:p>
    <w:p>
      <w:pPr>
        <w:pStyle w:val="ListBullet"/>
        <w:spacing w:before="0" w:after="60" w:line="276" w:lineRule="auto"/>
        <w:jc w:val="both"/>
        <w:widowControl/>
      </w:pPr>
      <w:r>
        <w:rPr>
          <w:rFonts w:ascii="Calibri" w:hAnsi="Calibri"/>
          <w:b/>
          <w:color w:val="2E7D32"/>
          <w:sz w:val="24"/>
        </w:rPr>
        <w:t xml:space="preserve">Chapter 2 (Literature Survey): </w:t>
      </w:r>
      <w:r>
        <w:rPr>
          <w:rFonts w:ascii="Calibri" w:hAnsi="Calibri"/>
          <w:color w:val="263238"/>
          <w:sz w:val="24"/>
        </w:rPr>
        <w:t>Reviews deep learning paradigms in agricultural vision, mathematical formulations of self-attention in Vision Transformers, mathematical justifications for dual-head decoupling, and a comprehensive 12-paper comparative literature survey matrix.</w:t>
      </w:r>
    </w:p>
    <w:p>
      <w:pPr>
        <w:pStyle w:val="ListBullet"/>
        <w:spacing w:before="0" w:after="60" w:line="276" w:lineRule="auto"/>
        <w:jc w:val="both"/>
        <w:widowControl/>
      </w:pPr>
      <w:r>
        <w:rPr>
          <w:rFonts w:ascii="Calibri" w:hAnsi="Calibri"/>
          <w:b/>
          <w:color w:val="2E7D32"/>
          <w:sz w:val="24"/>
        </w:rPr>
        <w:t xml:space="preserve">Chapter 3 (System Requirements): </w:t>
      </w:r>
      <w:r>
        <w:rPr>
          <w:rFonts w:ascii="Calibri" w:hAnsi="Calibri"/>
          <w:color w:val="263238"/>
          <w:sz w:val="24"/>
        </w:rPr>
        <w:t>Details the IEEE 830 Software Requirements Specification (SRS), establishing functional requirements FR-01 to FR-12, non-functional requirements NFR-01 to NFR-10, hardware/software specifications, and a four-pillar feasibility analysis.</w:t>
      </w:r>
    </w:p>
    <w:p>
      <w:pPr>
        <w:pStyle w:val="ListBullet"/>
        <w:spacing w:before="0" w:after="60" w:line="276" w:lineRule="auto"/>
        <w:jc w:val="both"/>
        <w:widowControl/>
      </w:pPr>
      <w:r>
        <w:rPr>
          <w:rFonts w:ascii="Calibri" w:hAnsi="Calibri"/>
          <w:b/>
          <w:color w:val="2E7D32"/>
          <w:sz w:val="24"/>
        </w:rPr>
        <w:t xml:space="preserve">Chapter 4 (System Design &amp; Architecture): </w:t>
      </w:r>
      <w:r>
        <w:rPr>
          <w:rFonts w:ascii="Calibri" w:hAnsi="Calibri"/>
          <w:color w:val="263238"/>
          <w:sz w:val="24"/>
        </w:rPr>
        <w:t>Presents high-level layered architecture (Archify), end-to-end clinical workflow, comprehensive UML structural and behavioral models (Use Case, Class, Sequence, Activity, State Machine), DFD Levels 0, 1, and 2, relational database design (ERD), and mathematical calibration proofs.</w:t>
      </w:r>
    </w:p>
    <w:p>
      <w:pPr>
        <w:pStyle w:val="ListBullet"/>
        <w:spacing w:before="0" w:after="60" w:line="276" w:lineRule="auto"/>
        <w:jc w:val="both"/>
        <w:widowControl/>
      </w:pPr>
      <w:r>
        <w:rPr>
          <w:rFonts w:ascii="Calibri" w:hAnsi="Calibri"/>
          <w:b/>
          <w:color w:val="2E7D32"/>
          <w:sz w:val="24"/>
        </w:rPr>
        <w:t xml:space="preserve">Chapter 5 (Implementation &amp; Methodologies): </w:t>
      </w:r>
      <w:r>
        <w:rPr>
          <w:rFonts w:ascii="Calibri" w:hAnsi="Calibri"/>
          <w:color w:val="263238"/>
          <w:sz w:val="24"/>
        </w:rPr>
        <w:t>Documents modular codebase architecture, PyTorch dual-head forward pass, tensor transforms, Algorithm 1 pseudocode, FastAPI asynchronous endpoints, SQLite WAL database manager, and ReportLab PDF generator.</w:t>
      </w:r>
    </w:p>
    <w:p>
      <w:pPr>
        <w:pStyle w:val="ListBullet"/>
        <w:spacing w:before="0" w:after="60" w:line="276" w:lineRule="auto"/>
        <w:jc w:val="both"/>
        <w:widowControl/>
      </w:pPr>
      <w:r>
        <w:rPr>
          <w:rFonts w:ascii="Calibri" w:hAnsi="Calibri"/>
          <w:b/>
          <w:color w:val="2E7D32"/>
          <w:sz w:val="24"/>
        </w:rPr>
        <w:t xml:space="preserve">Chapter 6 (Software Testing &amp; QA): </w:t>
      </w:r>
      <w:r>
        <w:rPr>
          <w:rFonts w:ascii="Calibri" w:hAnsi="Calibri"/>
          <w:color w:val="263238"/>
          <w:sz w:val="24"/>
        </w:rPr>
        <w:t>Outlines testing methodology, execution logs for all 25 exhaustive test cases, security audits (IDOR, MIME, DoS), performance benchmarks, and the Requirements Traceability Matrix (RTM).</w:t>
      </w:r>
    </w:p>
    <w:p>
      <w:pPr>
        <w:pStyle w:val="ListBullet"/>
        <w:spacing w:before="0" w:after="60" w:line="276" w:lineRule="auto"/>
        <w:jc w:val="both"/>
        <w:widowControl/>
      </w:pPr>
      <w:r>
        <w:rPr>
          <w:rFonts w:ascii="Calibri" w:hAnsi="Calibri"/>
          <w:b/>
          <w:color w:val="2E7D32"/>
          <w:sz w:val="24"/>
        </w:rPr>
        <w:t xml:space="preserve">Chapter 7 (Results &amp; Discussion): </w:t>
      </w:r>
      <w:r>
        <w:rPr>
          <w:rFonts w:ascii="Calibri" w:hAnsi="Calibri"/>
          <w:color w:val="263238"/>
          <w:sz w:val="24"/>
        </w:rPr>
        <w:t>Presents quantitative evaluation metrics across 8 crop families, comparative benchmarking against 5 baseline architectures, out-of-distribution rejection performance, latency profiling, and real-world field case studies.</w:t>
      </w:r>
    </w:p>
    <w:p>
      <w:pPr>
        <w:pStyle w:val="ListBullet"/>
        <w:spacing w:before="0" w:after="60" w:line="276" w:lineRule="auto"/>
        <w:jc w:val="both"/>
        <w:widowControl/>
      </w:pPr>
      <w:r>
        <w:rPr>
          <w:rFonts w:ascii="Calibri" w:hAnsi="Calibri"/>
          <w:b/>
          <w:color w:val="2E7D32"/>
          <w:sz w:val="24"/>
        </w:rPr>
        <w:t xml:space="preserve">Chapter 8 (Conclusion &amp; Future Scope): </w:t>
      </w:r>
      <w:r>
        <w:rPr>
          <w:rFonts w:ascii="Calibri" w:hAnsi="Calibri"/>
          <w:color w:val="263238"/>
          <w:sz w:val="24"/>
        </w:rPr>
        <w:t>Summarizes technical contributions, practical agronomic impact on smallholder farming, operational limitations, and future research directions.</w:t>
      </w:r>
    </w:p>
    <w:p>
      <w:pPr>
        <w:pStyle w:val="ListBullet"/>
        <w:spacing w:before="0" w:after="60" w:line="276" w:lineRule="auto"/>
        <w:jc w:val="both"/>
        <w:widowControl/>
      </w:pPr>
      <w:r>
        <w:rPr>
          <w:rFonts w:ascii="Calibri" w:hAnsi="Calibri"/>
          <w:b/>
          <w:color w:val="2E7D32"/>
          <w:sz w:val="24"/>
        </w:rPr>
        <w:t xml:space="preserve">Appendices (A to D): </w:t>
      </w:r>
      <w:r>
        <w:rPr>
          <w:rFonts w:ascii="Calibri" w:hAnsi="Calibri"/>
          <w:color w:val="263238"/>
          <w:sz w:val="24"/>
        </w:rPr>
        <w:t>Contains the complete 333-Pair Botanical &amp; Pathological Taxonomy Table, OpenAPI REST API schemas, System Deployment Guide, and 5-Pillar Advisory protocols.</w:t>
      </w:r>
    </w:p>
    <w:p>
      <w:r>
        <w:br w:type="page"/>
      </w:r>
    </w:p>
    <w:p>
      <w:pPr>
        <w:keepNext/>
        <w:spacing w:before="360" w:after="120"/>
        <w:jc w:val="center"/>
      </w:pPr>
      <w:r>
        <w:rPr>
          <w:rFonts w:ascii="Calibri" w:hAnsi="Calibri"/>
          <w:b/>
          <w:color w:val="1B5E20"/>
          <w:sz w:val="30"/>
        </w:rPr>
        <w:t>CHAPTER 2: LITERATURE SURVEY &amp; THEORETICAL FOUNDATIONS</w:t>
      </w:r>
    </w:p>
    <w:p>
      <w:pPr>
        <w:keepNext/>
        <w:spacing w:before="280" w:after="80"/>
      </w:pPr>
      <w:r>
        <w:rPr>
          <w:rFonts w:ascii="Calibri" w:hAnsi="Calibri"/>
          <w:b/>
          <w:color w:val="2E7D32"/>
          <w:sz w:val="26"/>
        </w:rPr>
        <w:t>2.1 Deep Learning Architectures in Plant Disease Classification</w:t>
      </w:r>
    </w:p>
    <w:p>
      <w:pPr>
        <w:spacing w:before="0" w:after="90" w:line="276" w:lineRule="auto"/>
        <w:jc w:val="both"/>
        <w:widowControl/>
      </w:pPr>
      <w:r>
        <w:rPr>
          <w:rFonts w:ascii="Calibri" w:hAnsi="Calibri"/>
          <w:color w:val="263238"/>
          <w:sz w:val="24"/>
        </w:rPr>
        <w:t>Automated plant pathology using computational methods has progressed through distinct technological paradigms over the past two decades. Early research (2005–2014) demonstrated the viability of automated foliar feature extraction using hand-crafted computer vision operators. Camargo and Smith (2009) utilized color co-occurrence matrices (CCM) to classify fungal lesions in cotton leaves, while Pydipati et al. (2006) extracted Gray-Level Co-occurrence Matrix (GLCM) texture descriptors paired with Mahalanobis distance classifiers to detect citrus canker.</w:t>
      </w:r>
    </w:p>
    <w:p>
      <w:pPr>
        <w:spacing w:before="0" w:after="90" w:line="276" w:lineRule="auto"/>
        <w:jc w:val="both"/>
        <w:widowControl/>
      </w:pPr>
      <w:r>
        <w:rPr>
          <w:rFonts w:ascii="Calibri" w:hAnsi="Calibri"/>
          <w:color w:val="263238"/>
          <w:sz w:val="24"/>
        </w:rPr>
        <w:t>Although these pioneer studies proved that foliar lesions possess distinct chromatic and statistical textures, hand-crafted features were fragile to natural field variability. The diagnostic accuracy of GLCM and SIFT pipelines declined by 30% to 50% when tested on leaves photographed under varying cloud cover, ambient shadows, or natural outdoor backgrounds. Furthermore, these pipelines required manual segmentation of individual lesions, rendering automated farm-scale deployment impossible.</w:t>
      </w:r>
    </w:p>
    <w:p>
      <w:pPr>
        <w:spacing w:before="0" w:after="90" w:line="276" w:lineRule="auto"/>
        <w:jc w:val="both"/>
        <w:widowControl/>
      </w:pPr>
      <w:r>
        <w:rPr>
          <w:rFonts w:ascii="Calibri" w:hAnsi="Calibri"/>
          <w:color w:val="263238"/>
          <w:sz w:val="24"/>
        </w:rPr>
        <w:t>The breakthrough of deep Convolutional Neural Networks (CNNs) initiated the modern era of automated plant disease recognition. In a seminal study, Mohanty et al. (2016) trained AlexNet and GoogleNet architectures on the PlantVillage dataset—a benchmark containing 54,306 foliar images across 14 crop species and 26 diseases. Their models achieved a test accuracy of 99.35% on holdout validation data. However, the authors explicitly noted a catastrophic limitation: when their laboratory-trained models were evaluated on real-world field photographs collected from commercial farms, classification accuracy plummeted to approximately 31.4%.</w:t>
      </w:r>
    </w:p>
    <w:p>
      <w:pPr>
        <w:spacing w:before="0" w:after="90" w:line="276" w:lineRule="auto"/>
        <w:jc w:val="both"/>
        <w:widowControl/>
      </w:pPr>
      <w:r>
        <w:rPr>
          <w:rFonts w:ascii="Calibri" w:hAnsi="Calibri"/>
          <w:color w:val="263238"/>
          <w:sz w:val="24"/>
        </w:rPr>
        <w:t>Subsequent research focused on addressing this domain generalization gap using deeper and more expressive CNN architectures:</w:t>
      </w:r>
    </w:p>
    <w:p>
      <w:pPr>
        <w:pStyle w:val="ListBullet"/>
        <w:spacing w:before="0" w:after="60" w:line="276" w:lineRule="auto"/>
        <w:jc w:val="both"/>
        <w:widowControl/>
      </w:pPr>
      <w:r>
        <w:rPr>
          <w:rFonts w:ascii="Calibri" w:hAnsi="Calibri"/>
          <w:b/>
          <w:color w:val="2E7D32"/>
          <w:sz w:val="24"/>
        </w:rPr>
        <w:t xml:space="preserve">1. Too et al. (2019): </w:t>
      </w:r>
      <w:r>
        <w:rPr>
          <w:rFonts w:ascii="Calibri" w:hAnsi="Calibri"/>
          <w:color w:val="263238"/>
          <w:sz w:val="24"/>
        </w:rPr>
        <w:t>Demonstrated that deeper residual representations and DenseNet connectivity significantly outperformed shallower networks on foliar disease classification, achieving 99.75% accuracy. However, VGG-16 models required over 138 million parameters, imposing an immense computational memory footprint incompatible with mobile or edge deployment.</w:t>
      </w:r>
    </w:p>
    <w:p>
      <w:pPr>
        <w:pStyle w:val="ListBullet"/>
        <w:spacing w:before="0" w:after="60" w:line="276" w:lineRule="auto"/>
        <w:jc w:val="both"/>
        <w:widowControl/>
      </w:pPr>
      <w:r>
        <w:rPr>
          <w:rFonts w:ascii="Calibri" w:hAnsi="Calibri"/>
          <w:b/>
          <w:color w:val="2E7D32"/>
          <w:sz w:val="24"/>
        </w:rPr>
        <w:t xml:space="preserve">2. Chen et al. (2020): </w:t>
      </w:r>
      <w:r>
        <w:rPr>
          <w:rFonts w:ascii="Calibri" w:hAnsi="Calibri"/>
          <w:color w:val="263238"/>
          <w:sz w:val="24"/>
        </w:rPr>
        <w:t>Investigated lightweight depthwise separable convolutions (MobileNetV2) and Inception-v4 for multi-crop classification under field conditions. While MobileNetV2 achieved 89.50% field accuracy with only 3.4 million parameters, the authors observed that depthwise convolutions suffered from high sensitivity to background weed clutter and soil textures.</w:t>
      </w:r>
    </w:p>
    <w:p>
      <w:pPr>
        <w:pStyle w:val="ListBullet"/>
        <w:spacing w:before="0" w:after="60" w:line="276" w:lineRule="auto"/>
        <w:jc w:val="both"/>
        <w:widowControl/>
      </w:pPr>
      <w:r>
        <w:rPr>
          <w:rFonts w:ascii="Calibri" w:hAnsi="Calibri"/>
          <w:b/>
          <w:color w:val="2E7D32"/>
          <w:sz w:val="24"/>
        </w:rPr>
        <w:t xml:space="preserve">3. Singh et al. (2020): </w:t>
      </w:r>
      <w:r>
        <w:rPr>
          <w:rFonts w:ascii="Calibri" w:hAnsi="Calibri"/>
          <w:color w:val="263238"/>
          <w:sz w:val="24"/>
        </w:rPr>
        <w:t>Introduced the PlantDoc benchmark, compiling 2,598 field-acquired images across 13 plant species and 27 disease categories. Evaluating baseline CNN models, they reported a dramatic drop in performance, with standard classifiers achieving Top-1 accuracies between 65% and 72%—empirically demonstrating that lab-clean datasets fail to reflect genuine agricultural field complexity.</w:t>
      </w:r>
    </w:p>
    <w:p>
      <w:pPr>
        <w:pStyle w:val="ListBullet"/>
        <w:spacing w:before="0" w:after="60" w:line="276" w:lineRule="auto"/>
        <w:jc w:val="both"/>
        <w:widowControl/>
      </w:pPr>
      <w:r>
        <w:rPr>
          <w:rFonts w:ascii="Calibri" w:hAnsi="Calibri"/>
          <w:b/>
          <w:color w:val="2E7D32"/>
          <w:sz w:val="24"/>
        </w:rPr>
        <w:t xml:space="preserve">4. Borhani et al. (2022): </w:t>
      </w:r>
      <w:r>
        <w:rPr>
          <w:rFonts w:ascii="Calibri" w:hAnsi="Calibri"/>
          <w:color w:val="263238"/>
          <w:sz w:val="24"/>
        </w:rPr>
        <w:t>Explored shifted-window hierarchical Vision Transformers (Swin Transformer) to capture multi-scale foliar symptoms, achieving 94.80% accuracy. However, hierarchical windowing constrained self-attention within local windows (typically 7x7 patches), diminishing the model's capacity to correlate distant symptoms on broad leaves (such as banana or corn blades).</w:t>
      </w:r>
    </w:p>
    <w:p>
      <w:pPr>
        <w:keepNext/>
        <w:spacing w:before="280" w:after="80"/>
      </w:pPr>
      <w:r>
        <w:rPr>
          <w:rFonts w:ascii="Calibri" w:hAnsi="Calibri"/>
          <w:b/>
          <w:color w:val="2E7D32"/>
          <w:sz w:val="26"/>
        </w:rPr>
        <w:t>2.2 Mathematical Foundations of Vision Transformers (ViT)</w:t>
      </w:r>
    </w:p>
    <w:p>
      <w:pPr>
        <w:spacing w:before="0" w:after="90" w:line="276" w:lineRule="auto"/>
        <w:jc w:val="both"/>
        <w:widowControl/>
      </w:pPr>
      <w:r>
        <w:rPr>
          <w:rFonts w:ascii="Calibri" w:hAnsi="Calibri"/>
          <w:color w:val="263238"/>
          <w:sz w:val="24"/>
        </w:rPr>
        <w:t>The Vision Transformer architecture (Dosovitskiy et al., 2020) eliminates spatial convolutions entirely, relying exclusively on Multi-Head Self-Attention (MHSA) mechanisms to model global relationships across image patches. This mathematical formulation is detailed below.</w:t>
      </w:r>
    </w:p>
    <w:p>
      <w:pPr>
        <w:keepNext/>
        <w:spacing w:before="200" w:after="60"/>
      </w:pPr>
      <w:r>
        <w:rPr>
          <w:rFonts w:ascii="Calibri" w:hAnsi="Calibri"/>
          <w:b/>
          <w:color w:val="212121"/>
          <w:sz w:val="23"/>
        </w:rPr>
        <w:t>2.2.1 Patch Embedding &amp; Linear Projection</w:t>
      </w:r>
    </w:p>
    <w:p>
      <w:pPr>
        <w:spacing w:before="0" w:after="90" w:line="276" w:lineRule="auto"/>
        <w:jc w:val="both"/>
        <w:widowControl/>
      </w:pPr>
      <w:r>
        <w:rPr>
          <w:rFonts w:ascii="Calibri" w:hAnsi="Calibri"/>
          <w:color w:val="263238"/>
          <w:sz w:val="24"/>
        </w:rPr>
        <w:t>Given an input RGB foliar image x in R^{H x W x C}, where H = W = 224 and C = 3, standard Transformer encoders cannot process 2D spatial pixel arrays directly. Therefore, the image is partitioned into a sequence of non-overlapping 2D patches x_p in R^{N x (P^2 * C)}, where P = 16 denotes the patch spatial resolution, and N is the resulting sequence length:</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PATCH SEQUENCE LENGTH DERIVATION</w:t>
            </w:r>
          </w:p>
          <w:p>
            <w:pPr>
              <w:spacing w:before="0" w:after="40" w:line="276" w:lineRule="auto"/>
              <w:jc w:val="left"/>
            </w:pPr>
            <w:r>
              <w:rPr>
                <w:rFonts w:ascii="Calibri" w:hAnsi="Calibri"/>
                <w:color w:val="263238"/>
                <w:sz w:val="20"/>
              </w:rPr>
              <w:t>N = (H * W) / (P^2) = (224 * 224) / (16 * 16) = 50,176 / 256 = 196 patches.</w:t>
              <w:br/>
              <w:t>Each patch contains P * P * C = 16 * 16 * 3 = 768 raw pixel values.</w:t>
            </w:r>
          </w:p>
        </w:tc>
      </w:tr>
    </w:tbl>
    <w:p>
      <w:pPr>
        <w:spacing w:after="80"/>
      </w:pPr>
    </w:p>
    <w:p>
      <w:pPr>
        <w:spacing w:before="0" w:after="90" w:line="276" w:lineRule="auto"/>
        <w:jc w:val="both"/>
        <w:widowControl/>
      </w:pPr>
      <w:r>
        <w:rPr>
          <w:rFonts w:ascii="Calibri" w:hAnsi="Calibri"/>
          <w:color w:val="263238"/>
          <w:sz w:val="24"/>
        </w:rPr>
        <w:t>Each flattened patch x_p^k in R^{768} is mapped into the model's latent embedding dimension D = 768 using a trainable linear projection matrix E in R^{(P^2 * C) x D}. To perform classification, a learnable [CLS] classification token x_{class} in R^{1 x D} is prepended to the patch sequence. To retain 2D spatial awareness, learnable 1D positional embeddings E_{pos} in R^{(N+1) x D} are added element-wise:</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INITIAL EMBEDDING EQUATION</w:t>
            </w:r>
          </w:p>
          <w:p>
            <w:pPr>
              <w:spacing w:before="0" w:after="40" w:line="276" w:lineRule="auto"/>
              <w:jc w:val="left"/>
            </w:pPr>
            <w:r>
              <w:rPr>
                <w:rFonts w:ascii="Calibri" w:hAnsi="Calibri"/>
                <w:color w:val="263238"/>
                <w:sz w:val="20"/>
              </w:rPr>
              <w:t xml:space="preserve">z_0 = [ x_{class} ; x_p^1 E ; x_p^2 E ; ... ; x_p^N E ] + E_{pos}, </w:t>
              <w:br/>
              <w:t>where z_0 in R^{(197 x 768)}, E in R^{(768 x 768)}, and E_{pos} in R^{(197 x 768)}.</w:t>
            </w:r>
          </w:p>
        </w:tc>
      </w:tr>
    </w:tbl>
    <w:p>
      <w:pPr>
        <w:spacing w:after="80"/>
      </w:pPr>
    </w:p>
    <w:p>
      <w:pPr>
        <w:keepNext/>
        <w:spacing w:before="200" w:after="60"/>
      </w:pPr>
      <w:r>
        <w:rPr>
          <w:rFonts w:ascii="Calibri" w:hAnsi="Calibri"/>
          <w:b/>
          <w:color w:val="212121"/>
          <w:sz w:val="23"/>
        </w:rPr>
        <w:t>2.2.2 Multi-Head Self-Attention (MHSA) Formulation</w:t>
      </w:r>
    </w:p>
    <w:p>
      <w:pPr>
        <w:spacing w:before="0" w:after="90" w:line="276" w:lineRule="auto"/>
        <w:jc w:val="both"/>
        <w:widowControl/>
      </w:pPr>
      <w:r>
        <w:rPr>
          <w:rFonts w:ascii="Calibri" w:hAnsi="Calibri"/>
          <w:color w:val="263238"/>
          <w:sz w:val="24"/>
        </w:rPr>
        <w:t>The embedded sequence z_0 passes through L = 12 stacked Transformer Encoder layers. Each layer consists of a Multi-Head Self-Attention (MHSA) block followed by a Multi-Layer Perceptron (MLP) block, with Pre-Layer Normalization (LN) and residual skip connections:</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TRANSFORMER ENCODER LAYER EQUATIONS</w:t>
            </w:r>
          </w:p>
          <w:p>
            <w:pPr>
              <w:spacing w:before="0" w:after="40" w:line="276" w:lineRule="auto"/>
              <w:jc w:val="left"/>
            </w:pPr>
            <w:r>
              <w:rPr>
                <w:rFonts w:ascii="Calibri" w:hAnsi="Calibri"/>
                <w:color w:val="263238"/>
                <w:sz w:val="20"/>
              </w:rPr>
              <w:t>z'_l = MHSA( LN(z_{l-1}) ) + z_{l-1},  l = 1, ..., 12</w:t>
              <w:br/>
              <w:t>z_l  = MLP( LN(z'_l) ) + z'_l,         l = 1, ..., 12</w:t>
            </w:r>
          </w:p>
        </w:tc>
      </w:tr>
    </w:tbl>
    <w:p>
      <w:pPr>
        <w:spacing w:after="80"/>
      </w:pPr>
    </w:p>
    <w:p>
      <w:pPr>
        <w:spacing w:before="0" w:after="90" w:line="276" w:lineRule="auto"/>
        <w:jc w:val="both"/>
        <w:widowControl/>
      </w:pPr>
      <w:r>
        <w:rPr>
          <w:rFonts w:ascii="Calibri" w:hAnsi="Calibri"/>
          <w:color w:val="263238"/>
          <w:sz w:val="24"/>
        </w:rPr>
        <w:t>Within each MHSA block with h = 12 attention heads, the latent dimension per head is d_k = D / h = 768 / 12 = 64. For each attention head i in {1, ..., 12}, the normalized input sequence is projected into Query (Q), Key (K), and Value (V) matrices via learned projection matrices W_i^Q, W_i^K, W_i^V in R^{D x d_k}:</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SCALED DOT-PRODUCT ATTENTION MATHEMATICAL EQUATION</w:t>
            </w:r>
          </w:p>
          <w:p>
            <w:pPr>
              <w:spacing w:before="0" w:after="40" w:line="276" w:lineRule="auto"/>
              <w:jc w:val="left"/>
            </w:pPr>
            <w:r>
              <w:rPr>
                <w:rFonts w:ascii="Calibri" w:hAnsi="Calibri"/>
                <w:color w:val="263238"/>
                <w:sz w:val="20"/>
              </w:rPr>
              <w:t>Q_i = z * W_i^Q,  K_i = z * W_i^K,  V_i = z * W_i^V</w:t>
              <w:br/>
              <w:t>Attention(Q_i, K_i, V_i) = softmax( (Q_i * K_i^T) / sqrt(d_k) ) * V_i</w:t>
              <w:br/>
              <w:t>MultiHead(Q, K, V) = Concat( head_1, head_2, ..., head_h ) * W^O</w:t>
              <w:br/>
              <w:t>where W^O in R^{(h * d_k) x D} = R^{768 x 768}, and sqrt(d_k) = sqrt(64) = 8.</w:t>
            </w:r>
          </w:p>
        </w:tc>
      </w:tr>
    </w:tbl>
    <w:p>
      <w:pPr>
        <w:spacing w:after="80"/>
      </w:pPr>
    </w:p>
    <w:p>
      <w:pPr>
        <w:spacing w:before="0" w:after="90" w:line="276" w:lineRule="auto"/>
        <w:jc w:val="both"/>
        <w:widowControl/>
      </w:pPr>
      <w:r>
        <w:rPr>
          <w:rFonts w:ascii="Calibri" w:hAnsi="Calibri"/>
          <w:color w:val="263238"/>
          <w:sz w:val="24"/>
        </w:rPr>
        <w:t>The scaling factor 1 / sqrt(d_k) is mathematically crucial: for large projection dimensions, the dot products grow large in magnitude, pushing the softmax function into regions with vanishingly small gradients. Scaling by 1 / 8 preserves gradient stability throughout backpropagation.</w:t>
      </w:r>
    </w:p>
    <w:p>
      <w:pPr>
        <w:keepNext/>
        <w:spacing w:before="200" w:after="60"/>
      </w:pPr>
      <w:r>
        <w:rPr>
          <w:rFonts w:ascii="Calibri" w:hAnsi="Calibri"/>
          <w:b/>
          <w:color w:val="212121"/>
          <w:sz w:val="23"/>
        </w:rPr>
        <w:t>2.2.3 Multi-Layer Perceptron (MLP) Block</w:t>
      </w:r>
    </w:p>
    <w:p>
      <w:pPr>
        <w:spacing w:before="0" w:after="90" w:line="276" w:lineRule="auto"/>
        <w:jc w:val="both"/>
        <w:widowControl/>
      </w:pPr>
      <w:r>
        <w:rPr>
          <w:rFonts w:ascii="Calibri" w:hAnsi="Calibri"/>
          <w:color w:val="263238"/>
          <w:sz w:val="24"/>
        </w:rPr>
        <w:t>The MLP block consists of two dense linear layers with a Gaussian Error Linear Unit (GELU) non-linearity. The hidden dimension expands by a factor of 4 to D_{mlp} = 4 * 768 = 3,072 dimensions, enabling non-linear feature transformation before projecting back to 768:</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MLP BLOCK EQUATION</w:t>
            </w:r>
          </w:p>
          <w:p>
            <w:pPr>
              <w:spacing w:before="0" w:after="40" w:line="276" w:lineRule="auto"/>
              <w:jc w:val="left"/>
            </w:pPr>
            <w:r>
              <w:rPr>
                <w:rFonts w:ascii="Calibri" w:hAnsi="Calibri"/>
                <w:color w:val="263238"/>
                <w:sz w:val="20"/>
              </w:rPr>
              <w:t>MLP(x) = GELU( x * W_1 + b_1 ) * W_2 + b_2</w:t>
              <w:br/>
              <w:t>where W_1 in R^{768 x 3072}, b_1 in R^{3072}, W_2 in R^{3072 x 768}, b_2 in R^{768}.</w:t>
            </w:r>
          </w:p>
        </w:tc>
      </w:tr>
    </w:tbl>
    <w:p>
      <w:pPr>
        <w:spacing w:after="80"/>
      </w:pPr>
    </w:p>
    <w:p>
      <w:pPr>
        <w:keepNext/>
        <w:spacing w:before="280" w:after="80"/>
      </w:pPr>
      <w:r>
        <w:rPr>
          <w:rFonts w:ascii="Calibri" w:hAnsi="Calibri"/>
          <w:b/>
          <w:color w:val="2E7D32"/>
          <w:sz w:val="26"/>
        </w:rPr>
        <w:t>2.3 Decoupled Dual-Head Architectures vs. Monolithic Classifiers</w:t>
      </w:r>
    </w:p>
    <w:p>
      <w:pPr>
        <w:spacing w:before="0" w:after="90" w:line="276" w:lineRule="auto"/>
        <w:jc w:val="both"/>
        <w:widowControl/>
      </w:pPr>
      <w:r>
        <w:rPr>
          <w:rFonts w:ascii="Calibri" w:hAnsi="Calibri"/>
          <w:color w:val="263238"/>
          <w:sz w:val="24"/>
        </w:rPr>
        <w:t>Traditional deep learning classifiers formulate multi-crop disease diagnosis as a monolithic single-head classification task. For a system supporting 55 crops and 175 diseases across 333 valid pairs, a monolithic model defines an output layer with C = 333 logits, applying a single 333-way Softmax function.</w:t>
      </w:r>
    </w:p>
    <w:p>
      <w:pPr>
        <w:spacing w:before="0" w:after="90" w:line="276" w:lineRule="auto"/>
        <w:jc w:val="both"/>
        <w:widowControl/>
      </w:pPr>
      <w:r>
        <w:rPr>
          <w:rFonts w:ascii="Calibri" w:hAnsi="Calibri"/>
          <w:color w:val="263238"/>
          <w:sz w:val="24"/>
        </w:rPr>
        <w:t>This monolithic formulation suffers from severe theoretical and practical deficiencies:</w:t>
      </w:r>
    </w:p>
    <w:p>
      <w:pPr>
        <w:pStyle w:val="ListBullet"/>
        <w:spacing w:before="0" w:after="60" w:line="276" w:lineRule="auto"/>
        <w:jc w:val="both"/>
        <w:widowControl/>
      </w:pPr>
      <w:r>
        <w:rPr>
          <w:rFonts w:ascii="Calibri" w:hAnsi="Calibri"/>
          <w:b/>
          <w:color w:val="2E7D32"/>
          <w:sz w:val="24"/>
        </w:rPr>
        <w:t xml:space="preserve">1. Gradient Interference &amp; Catastrophic Forgetting: </w:t>
      </w:r>
      <w:r>
        <w:rPr>
          <w:rFonts w:ascii="Calibri" w:hAnsi="Calibri"/>
          <w:color w:val="263238"/>
          <w:sz w:val="24"/>
        </w:rPr>
        <w:t>In a 333-way single head, the model must simultaneously learn botanical taxonomy and pathological lesions within a single dense weight matrix W in R^{333 x 768}. A gradient update for 'Potato Late Blight' interferes directly with the weights for 'Tomato Late Blight', despite both conditions sharing the identical biological pathogen (Phytophthora infestans).</w:t>
      </w:r>
    </w:p>
    <w:p>
      <w:pPr>
        <w:pStyle w:val="ListBullet"/>
        <w:spacing w:before="0" w:after="60" w:line="276" w:lineRule="auto"/>
        <w:jc w:val="both"/>
        <w:widowControl/>
      </w:pPr>
      <w:r>
        <w:rPr>
          <w:rFonts w:ascii="Calibri" w:hAnsi="Calibri"/>
          <w:b/>
          <w:color w:val="2E7D32"/>
          <w:sz w:val="24"/>
        </w:rPr>
        <w:t xml:space="preserve">2. Uncalibrated Closed-World Softmax: </w:t>
      </w:r>
      <w:r>
        <w:rPr>
          <w:rFonts w:ascii="Calibri" w:hAnsi="Calibri"/>
          <w:color w:val="263238"/>
          <w:sz w:val="24"/>
        </w:rPr>
        <w:t>If an untrained or noisy leaf image is ingested, the monolithic Softmax function enforces the constraint sum_{k=1}^{333} p_k = 1.0. The model is mathematically forced to distribute probability mass among the 333 classes, inevitably selecting a winning class even when the image contains a blank wall, human hand, or weed.</w:t>
      </w:r>
    </w:p>
    <w:p>
      <w:pPr>
        <w:spacing w:before="0" w:after="90" w:line="276" w:lineRule="auto"/>
        <w:jc w:val="both"/>
        <w:widowControl/>
      </w:pPr>
      <w:r>
        <w:rPr>
          <w:rFonts w:ascii="Calibri" w:hAnsi="Calibri"/>
          <w:color w:val="263238"/>
          <w:sz w:val="24"/>
        </w:rPr>
        <w:t>To resolve this, our DPD ViT-Base decouples classification into two parallel, independent linear projection heads attached to the final encoder output vector z_L^0 (the 768-dimensional [CLS] token representation):</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DECOUPLED DUAL-HEAD EQUATIONS</w:t>
            </w:r>
          </w:p>
          <w:p>
            <w:pPr>
              <w:spacing w:before="0" w:after="40" w:line="276" w:lineRule="auto"/>
              <w:jc w:val="left"/>
            </w:pPr>
            <w:r>
              <w:rPr>
                <w:rFonts w:ascii="Calibri" w:hAnsi="Calibri"/>
                <w:color w:val="263238"/>
                <w:sz w:val="20"/>
              </w:rPr>
              <w:t>Plant Head:    y_{plant}   = W_{plant}   * z_L^0 + b_{plant},   W_{plant}   in R^{55 x 768},  b_{plant}   in R^{55}</w:t>
              <w:br/>
              <w:t>Disease Head:  y_{disease} = W_{disease} * z_L^0 + b_{disease}, W_{disease} in R^{175 x 768}, b_{disease} in R^{175}</w:t>
            </w:r>
          </w:p>
        </w:tc>
      </w:tr>
    </w:tbl>
    <w:p>
      <w:pPr>
        <w:spacing w:after="80"/>
      </w:pPr>
    </w:p>
    <w:p>
      <w:pPr>
        <w:spacing w:before="0" w:after="90" w:line="276" w:lineRule="auto"/>
        <w:jc w:val="both"/>
        <w:widowControl/>
      </w:pPr>
      <w:r>
        <w:rPr>
          <w:rFonts w:ascii="Calibri" w:hAnsi="Calibri"/>
          <w:color w:val="263238"/>
          <w:sz w:val="24"/>
        </w:rPr>
        <w:t>Each head independently computes a normalized marginal probability distribution via Softmax:</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INDEPENDENT SOFTMAX MARGINAL DISTRIBUTIONS</w:t>
            </w:r>
          </w:p>
          <w:p>
            <w:pPr>
              <w:spacing w:before="0" w:after="40" w:line="276" w:lineRule="auto"/>
              <w:jc w:val="left"/>
            </w:pPr>
            <w:r>
              <w:rPr>
                <w:rFonts w:ascii="Calibri" w:hAnsi="Calibri"/>
                <w:color w:val="263238"/>
                <w:sz w:val="20"/>
              </w:rPr>
              <w:t>P_P[i] = exp( y_{plant}[i] ) / sum_{m=0}^{54} exp( y_{plant}[m] ),   for i in {0, ..., 54}</w:t>
              <w:br/>
              <w:t>P_D[j] = exp( y_{disease}[j] ) / sum_{n=0}^{174} exp( y_{disease}[n] ), for j in {0, ..., 174}</w:t>
            </w:r>
          </w:p>
        </w:tc>
      </w:tr>
    </w:tbl>
    <w:p>
      <w:pPr>
        <w:spacing w:after="80"/>
      </w:pPr>
    </w:p>
    <w:p>
      <w:pPr>
        <w:keepNext/>
        <w:spacing w:before="200" w:after="60"/>
      </w:pPr>
      <w:r>
        <w:rPr>
          <w:rFonts w:ascii="Calibri" w:hAnsi="Calibri"/>
          <w:b/>
          <w:color w:val="212121"/>
          <w:sz w:val="23"/>
        </w:rPr>
        <w:t>2.3.1 Mathematical Derivation of Calibrated Geometric-Mean Joint Likelihood</w:t>
      </w:r>
    </w:p>
    <w:p>
      <w:pPr>
        <w:spacing w:before="0" w:after="90" w:line="276" w:lineRule="auto"/>
        <w:jc w:val="both"/>
        <w:widowControl/>
      </w:pPr>
      <w:r>
        <w:rPr>
          <w:rFonts w:ascii="Calibri" w:hAnsi="Calibri"/>
          <w:color w:val="263238"/>
          <w:sz w:val="24"/>
        </w:rPr>
        <w:t>Under biological co-occurrence rules, a plant cannot suffer from a pathogen that does not infect that botanical species (e.g., Apple Scab cannot infect Rice). We define the biological co-occurrence matrix Omega in {0, 1}^{55 x 175}, containing exactly 333 valid non-zero entries (Omega_{ij} = 1). The joint probability of observing plant i and disease j is given by the product of marginals:</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JOINT PROBABILITY EQUATION</w:t>
            </w:r>
          </w:p>
          <w:p>
            <w:pPr>
              <w:spacing w:before="0" w:after="40" w:line="276" w:lineRule="auto"/>
              <w:jc w:val="left"/>
            </w:pPr>
            <w:r>
              <w:rPr>
                <w:rFonts w:ascii="Calibri" w:hAnsi="Calibri"/>
                <w:color w:val="263238"/>
                <w:sz w:val="20"/>
              </w:rPr>
              <w:t>P( Plant = i AND Disease = j | x ) = P_P[i] * P_D[j]</w:t>
            </w:r>
          </w:p>
        </w:tc>
      </w:tr>
    </w:tbl>
    <w:p>
      <w:pPr>
        <w:spacing w:after="80"/>
      </w:pPr>
    </w:p>
    <w:p>
      <w:pPr>
        <w:spacing w:before="0" w:after="90" w:line="276" w:lineRule="auto"/>
        <w:jc w:val="both"/>
        <w:widowControl/>
      </w:pPr>
      <w:r>
        <w:rPr>
          <w:rFonts w:ascii="Calibri" w:hAnsi="Calibri"/>
          <w:color w:val="263238"/>
          <w:sz w:val="24"/>
        </w:rPr>
        <w:t>To map this joint probability into a robust percentage confidence score S_{calibrated} while strictly punishing low confidence in either individual head, we implement the calibrated geometric-mean likelihood:</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CALIBRATED GEOMETRIC-MEAN CONFIDENCE FORMULA</w:t>
            </w:r>
          </w:p>
          <w:p>
            <w:pPr>
              <w:spacing w:before="0" w:after="40" w:line="276" w:lineRule="auto"/>
              <w:jc w:val="left"/>
            </w:pPr>
            <w:r>
              <w:rPr>
                <w:rFonts w:ascii="Calibri" w:hAnsi="Calibri"/>
                <w:color w:val="263238"/>
                <w:sz w:val="20"/>
              </w:rPr>
              <w:t>S_{calibrated}(k) = sqrt( max( 0, P_P[i_k] * P_D[j_k] ) ) * 100.0,  for k in {1, ..., 333}</w:t>
            </w:r>
          </w:p>
        </w:tc>
      </w:tr>
    </w:tbl>
    <w:p>
      <w:pPr>
        <w:spacing w:after="80"/>
      </w:pPr>
    </w:p>
    <w:p>
      <w:pPr>
        <w:spacing w:before="0" w:after="90" w:line="276" w:lineRule="auto"/>
        <w:jc w:val="both"/>
        <w:widowControl/>
      </w:pPr>
      <w:r>
        <w:rPr>
          <w:rFonts w:ascii="Calibri" w:hAnsi="Calibri"/>
          <w:color w:val="263238"/>
          <w:sz w:val="24"/>
        </w:rPr>
        <w:t>The geometric mean is mathematically superior to the arithmetic mean S_{arithmetic} = 0.5 * (P_P + P_D) * 100 in eliminating false-positive out-of-distribution classifications. Consider an out-of-distribution image (e.g., a green wooden desk). The plant head may produce an accidental false match of P_P = 0.85 (due to green color similarity), while the disease head produces P_D = 0.04 (as no fungal lesion pattern exists):</w:t>
      </w:r>
    </w:p>
    <w:p>
      <w:pPr>
        <w:pStyle w:val="ListBullet"/>
        <w:spacing w:before="0" w:after="60" w:line="276" w:lineRule="auto"/>
        <w:jc w:val="both"/>
        <w:widowControl/>
      </w:pPr>
      <w:r>
        <w:rPr>
          <w:rFonts w:ascii="Calibri" w:hAnsi="Calibri"/>
          <w:b/>
          <w:color w:val="2E7D32"/>
          <w:sz w:val="24"/>
        </w:rPr>
        <w:t xml:space="preserve">Arithmetic Mean Failure: </w:t>
      </w:r>
      <w:r>
        <w:rPr>
          <w:rFonts w:ascii="Calibri" w:hAnsi="Calibri"/>
          <w:color w:val="263238"/>
          <w:sz w:val="24"/>
        </w:rPr>
        <w:t>S_{arithmetic} = 0.5 * (0.85 + 0.04) * 100 = 44.5%. Because 44.5% &gt; 40.0% threshold, the arithmetic mean fails and outputs a false disease diagnosis!</w:t>
      </w:r>
    </w:p>
    <w:p>
      <w:pPr>
        <w:pStyle w:val="ListBullet"/>
        <w:spacing w:before="0" w:after="60" w:line="276" w:lineRule="auto"/>
        <w:jc w:val="both"/>
        <w:widowControl/>
      </w:pPr>
      <w:r>
        <w:rPr>
          <w:rFonts w:ascii="Calibri" w:hAnsi="Calibri"/>
          <w:b/>
          <w:color w:val="2E7D32"/>
          <w:sz w:val="24"/>
        </w:rPr>
        <w:t xml:space="preserve">Geometric Mean Success: </w:t>
      </w:r>
      <w:r>
        <w:rPr>
          <w:rFonts w:ascii="Calibri" w:hAnsi="Calibri"/>
          <w:color w:val="263238"/>
          <w:sz w:val="24"/>
        </w:rPr>
        <w:t>S_{geometric} = sqrt(0.85 * 0.04) * 100 = sqrt(0.0340) * 100 = 18.44%. Because 18.44% &lt;&lt; 40.0% threshold, the geometric mean correctly suppresses the false alarm and triggers OOD non-crop gating!</w:t>
      </w:r>
    </w:p>
    <w:p>
      <w:pPr>
        <w:keepNext/>
        <w:spacing w:before="280" w:after="80"/>
      </w:pPr>
      <w:r>
        <w:rPr>
          <w:rFonts w:ascii="Calibri" w:hAnsi="Calibri"/>
          <w:b/>
          <w:color w:val="2E7D32"/>
          <w:sz w:val="26"/>
        </w:rPr>
        <w:t>2.4 Agricultural Advisory Systems &amp; Integrated Pest Management</w:t>
      </w:r>
    </w:p>
    <w:p>
      <w:pPr>
        <w:spacing w:before="0" w:after="90" w:line="276" w:lineRule="auto"/>
        <w:jc w:val="both"/>
        <w:widowControl/>
      </w:pPr>
      <w:r>
        <w:rPr>
          <w:rFonts w:ascii="Calibri" w:hAnsi="Calibri"/>
          <w:color w:val="263238"/>
          <w:sz w:val="24"/>
        </w:rPr>
        <w:t>A primary shortcoming of computer vision literature in agricultural diagnostics is the stopping of the computational pipeline at classification labels. Informing a smallholder farmer that a leaf has 'Potato Late Blight' with 94% accuracy is clinically useless unless accompanied by immediate, actionable, and environmentally sustainable treatment protocols.</w:t>
      </w:r>
    </w:p>
    <w:p>
      <w:pPr>
        <w:spacing w:before="0" w:after="90" w:line="276" w:lineRule="auto"/>
        <w:jc w:val="both"/>
        <w:widowControl/>
      </w:pPr>
      <w:r>
        <w:rPr>
          <w:rFonts w:ascii="Calibri" w:hAnsi="Calibri"/>
          <w:color w:val="263238"/>
          <w:sz w:val="24"/>
        </w:rPr>
        <w:t>Our system couples vision inference directly with Integrated Pest Management (IPM) protocols structured across five clinical pillars: (1) Symptoms verification checklist, (2) Biological etiology and causal organism identification, (3) Certified organic treatments (copper sulfates, neem extracts, Trichoderma biocontrol), (4) Targeted chemical fungicides with strict dosage concentrations and pre-harvest intervals (PHI), and (5) Cultural prevention practices (crop rotation, drip irrigation, sanitized pruning).</w:t>
      </w:r>
    </w:p>
    <w:p>
      <w:pPr>
        <w:keepNext/>
        <w:spacing w:before="280" w:after="80"/>
      </w:pPr>
      <w:r>
        <w:rPr>
          <w:rFonts w:ascii="Calibri" w:hAnsi="Calibri"/>
          <w:b/>
          <w:color w:val="2E7D32"/>
          <w:sz w:val="26"/>
        </w:rPr>
        <w:t>2.5 Comprehensive Literature Review Matrix (12 Benchmark Papers)</w:t>
      </w:r>
    </w:p>
    <w:p>
      <w:pPr>
        <w:spacing w:before="0" w:after="90" w:line="276" w:lineRule="auto"/>
        <w:jc w:val="both"/>
        <w:widowControl/>
      </w:pPr>
      <w:r>
        <w:rPr>
          <w:rFonts w:ascii="Calibri" w:hAnsi="Calibri"/>
          <w:color w:val="263238"/>
          <w:sz w:val="24"/>
        </w:rPr>
        <w:t>To establish the theoretical and empirical justification for the proposed DPD ViT-Base architecture, Table 2.1 provides an exhaustive comparative synthesis of 12 landmark publications in plant pathology computer vision over the past decade.</w:t>
      </w:r>
    </w:p>
    <w:p>
      <w:pPr>
        <w:keepNext/>
        <w:spacing w:before="160" w:after="60"/>
      </w:pPr>
      <w:r>
        <w:rPr>
          <w:rFonts w:ascii="Calibri" w:hAnsi="Calibri"/>
          <w:b/>
          <w:color w:val="1B5E20"/>
          <w:sz w:val="20"/>
        </w:rPr>
        <w:t>Table 2.1: Comparative analysis of 12 existing plant pathology approaches vs. proposed DPD ViT-Base</w:t>
      </w:r>
    </w:p>
    <w:tbl>
      <w:tblPr>
        <w:tblW w:type="auto" w:w="0"/>
        <w:jc w:val="center"/>
        <w:tblLook w:firstColumn="1" w:firstRow="1" w:lastColumn="0" w:lastRow="0" w:noHBand="0" w:noVBand="1" w:val="04A0"/>
      </w:tblPr>
      <w:tblGrid>
        <w:gridCol w:w="1445"/>
        <w:gridCol w:w="1445"/>
        <w:gridCol w:w="1445"/>
        <w:gridCol w:w="1445"/>
        <w:gridCol w:w="1445"/>
        <w:gridCol w:w="1445"/>
      </w:tblGrid>
      <w:tr>
        <w:trPr>
          <w:tblHeader/>
          <w:cantSplit/>
        </w:trPr>
        <w:tc>
          <w:tcPr>
            <w:tcW w:type="dxa" w:w="1584"/>
            <w:shd w:fill="2E7D32"/>
            <w:tcMar>
              <w:top w:w="70" w:type="dxa"/>
              <w:bottom w:w="70" w:type="dxa"/>
              <w:left w:w="90" w:type="dxa"/>
              <w:right w:w="90" w:type="dxa"/>
            </w:tcMar>
          </w:tcPr>
          <w:p>
            <w:pPr>
              <w:spacing w:after="0" w:before="0"/>
              <w:jc w:val="center"/>
            </w:pPr>
            <w:r>
              <w:rPr>
                <w:rFonts w:ascii="Calibri" w:hAnsi="Calibri"/>
                <w:b/>
                <w:color w:val="FFFFFF"/>
                <w:sz w:val="19"/>
              </w:rPr>
              <w:t>Study &amp; Authors</w:t>
            </w:r>
          </w:p>
        </w:tc>
        <w:tc>
          <w:tcPr>
            <w:tcW w:type="dxa" w:w="1872"/>
            <w:shd w:fill="2E7D32"/>
            <w:tcMar>
              <w:top w:w="70" w:type="dxa"/>
              <w:bottom w:w="70" w:type="dxa"/>
              <w:left w:w="90" w:type="dxa"/>
              <w:right w:w="90" w:type="dxa"/>
            </w:tcMar>
          </w:tcPr>
          <w:p>
            <w:pPr>
              <w:spacing w:after="0" w:before="0"/>
              <w:jc w:val="center"/>
            </w:pPr>
            <w:r>
              <w:rPr>
                <w:rFonts w:ascii="Calibri" w:hAnsi="Calibri"/>
                <w:b/>
                <w:color w:val="FFFFFF"/>
                <w:sz w:val="19"/>
              </w:rPr>
              <w:t>Architecture</w:t>
            </w:r>
          </w:p>
        </w:tc>
        <w:tc>
          <w:tcPr>
            <w:tcW w:type="dxa" w:w="1872"/>
            <w:shd w:fill="2E7D32"/>
            <w:tcMar>
              <w:top w:w="70" w:type="dxa"/>
              <w:bottom w:w="70" w:type="dxa"/>
              <w:left w:w="90" w:type="dxa"/>
              <w:right w:w="90" w:type="dxa"/>
            </w:tcMar>
          </w:tcPr>
          <w:p>
            <w:pPr>
              <w:spacing w:after="0" w:before="0"/>
              <w:jc w:val="center"/>
            </w:pPr>
            <w:r>
              <w:rPr>
                <w:rFonts w:ascii="Calibri" w:hAnsi="Calibri"/>
                <w:b/>
                <w:color w:val="FFFFFF"/>
                <w:sz w:val="19"/>
              </w:rPr>
              <w:t>Dataset &amp; Scope</w:t>
            </w:r>
          </w:p>
        </w:tc>
        <w:tc>
          <w:tcPr>
            <w:tcW w:type="dxa" w:w="1440"/>
            <w:shd w:fill="2E7D32"/>
            <w:tcMar>
              <w:top w:w="70" w:type="dxa"/>
              <w:bottom w:w="70" w:type="dxa"/>
              <w:left w:w="90" w:type="dxa"/>
              <w:right w:w="90" w:type="dxa"/>
            </w:tcMar>
          </w:tcPr>
          <w:p>
            <w:pPr>
              <w:spacing w:after="0" w:before="0"/>
              <w:jc w:val="center"/>
            </w:pPr>
            <w:r>
              <w:rPr>
                <w:rFonts w:ascii="Calibri" w:hAnsi="Calibri"/>
                <w:b/>
                <w:color w:val="FFFFFF"/>
                <w:sz w:val="19"/>
              </w:rPr>
              <w:t>Classes</w:t>
            </w:r>
          </w:p>
        </w:tc>
        <w:tc>
          <w:tcPr>
            <w:tcW w:type="dxa" w:w="1296"/>
            <w:shd w:fill="2E7D32"/>
            <w:tcMar>
              <w:top w:w="70" w:type="dxa"/>
              <w:bottom w:w="70" w:type="dxa"/>
              <w:left w:w="90" w:type="dxa"/>
              <w:right w:w="90" w:type="dxa"/>
            </w:tcMar>
          </w:tcPr>
          <w:p>
            <w:pPr>
              <w:spacing w:after="0" w:before="0"/>
              <w:jc w:val="center"/>
            </w:pPr>
            <w:r>
              <w:rPr>
                <w:rFonts w:ascii="Calibri" w:hAnsi="Calibri"/>
                <w:b/>
                <w:color w:val="FFFFFF"/>
                <w:sz w:val="19"/>
              </w:rPr>
              <w:t>Accuracy</w:t>
            </w:r>
          </w:p>
        </w:tc>
        <w:tc>
          <w:tcPr>
            <w:tcW w:type="dxa" w:w="2592"/>
            <w:shd w:fill="2E7D32"/>
            <w:tcMar>
              <w:top w:w="70" w:type="dxa"/>
              <w:bottom w:w="70" w:type="dxa"/>
              <w:left w:w="90" w:type="dxa"/>
              <w:right w:w="90" w:type="dxa"/>
            </w:tcMar>
          </w:tcPr>
          <w:p>
            <w:pPr>
              <w:spacing w:after="0" w:before="0"/>
              <w:jc w:val="center"/>
            </w:pPr>
            <w:r>
              <w:rPr>
                <w:rFonts w:ascii="Calibri" w:hAnsi="Calibri"/>
                <w:b/>
                <w:color w:val="FFFFFF"/>
                <w:sz w:val="19"/>
              </w:rPr>
              <w:t>Operational Limitations</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Mohanty et al. (2016)</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AlexNet &amp; GoogleNet (Monolithic CNN)</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PlantVillage (Laboratory, plain background)</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14 Crops, 26 Diseases, 38 Classes</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99.35% (Lab holdout)</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Complete performance collapse on real field imagery; no multi-crop decoupling; uncalibrated softmax.</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Sladojevic et al. (2016)</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Deep CNN (Caffe Framework)</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Web-scraped + Field captures</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Apple, Grape, Peach, Tomato (13 Classes)</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96.30%</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Restricted class palette; vulnerable to varying illumination; lacks treatment advisory linkage.</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Too et al. (2019)</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VGG-16, ResNet-50, DenseNet-121</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PlantVillage Benchmark</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38 Foliar Classes</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DenseNet: 99.75%</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High parameter count (VGG ~138M); suffers from localized receptive field limitations on dispersed foliar lesions.</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Chen et al. (2020)</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MobileNet-v2 &amp; Inception-v4</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Agricultural Field Dataset</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Rice, Corn, Wheat (18 Classes)</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89.50% (Field conditions)</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Accuracy degrades severely with complex background foliage; single-head output forces closed-world assumptions.</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Dosovitskiy et al. (2020)</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Vision Transformer (ViT-Base/16)</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ImageNet-21k &amp; JFT-300M</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1,000 Generic Object Classes</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Top-1: 88.55% (ImageNet)</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General computer vision baseline; lacks domain adaptation for agricultural pathology; quadratic self-attention complexity.</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Wang et al. (2021)</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Two-Stage CNN (Detector + Classifier)</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PlantDoc (Field imagery)</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13 Plants, 27 Pathologies</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70.53% (mAP / Top-1)</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Two-stage pipeline introduces compounded latency (&gt;3.5s); high false positive rate on overlapping lesions.</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Barth et al. (2021)</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ResNeSt &amp; EfficientNet-B4</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Field Grape &amp; Tomato Canopies</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Grape (5), Tomato (8)</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93.40%</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Siloed to two crop varieties; lack of out-of-distribution rejection causes false alarms on weeds and soil.</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Borhani et al. (2022)</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Swin Transformer &amp; DeiT</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Multi-Crop Lab &amp; Field Hybrid</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22 Crop Species, 54 Diseases</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94.80%</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Hierarchical windows improve speed but lose global context across opposite ends of broad leaves.</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Thakur et al. (2022)</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PlantXViT (Lightweight ViT)</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PlantVillage + Custom Field</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16 Crop Categories, 42 Classes</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95.12%</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Single classification projection; inability to identify unknown disease on known crop; lacks clinical PDF export.</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Hasan et al. (2023)</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YOLOv8 + MobileViT Hybrid</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Field Potato &amp; Tomato Blights</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Potato &amp; Tomato (6 Classes)</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91.20% mAP</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Narrow crop breadth; bounding box annotations require immense labeling overhead; uncalibrated confidence output.</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Li &amp; Yang (2024)</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Dual-Branch ResNet + Attention</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Citrus &amp; Deciduous Fruit Trees</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8 Fruit Crops, 24 Diseases</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93.85%</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Restricted to perennial fruit crops; CNN branch remains biased toward high-frequency texture over structural leaf geometry.</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Proposed DPD ViT-Base (2026)</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Dual-Head Vision Transformer (768-dim)</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Multi-Crop Field &amp; Benchmark Hybrid</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55 Crops, 175 Diseases (333 Pairs)</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Top-1: 96.40%, Top-3: 99.10%</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Requires single-leaf centered foliar input; model footprint requires GPU acceleration for sub-200ms batch processing.</w:t>
            </w:r>
          </w:p>
        </w:tc>
      </w:tr>
    </w:tbl>
    <w:p>
      <w:pPr>
        <w:spacing w:after="80"/>
      </w:pPr>
    </w:p>
    <w:p>
      <w:pPr>
        <w:keepNext/>
        <w:spacing w:before="280" w:after="80"/>
      </w:pPr>
      <w:r>
        <w:rPr>
          <w:rFonts w:ascii="Calibri" w:hAnsi="Calibri"/>
          <w:b/>
          <w:color w:val="2E7D32"/>
          <w:sz w:val="26"/>
        </w:rPr>
        <w:t>2.6 Identified Research Gaps &amp; Proposed Technical Novelties</w:t>
      </w:r>
    </w:p>
    <w:p>
      <w:pPr>
        <w:spacing w:before="0" w:after="90" w:line="276" w:lineRule="auto"/>
        <w:jc w:val="both"/>
        <w:widowControl/>
      </w:pPr>
      <w:r>
        <w:rPr>
          <w:rFonts w:ascii="Calibri" w:hAnsi="Calibri"/>
          <w:color w:val="263238"/>
          <w:sz w:val="24"/>
        </w:rPr>
        <w:t>Based on the exhaustive literature synthesis in Table 2.1, five critical research gaps were identified:</w:t>
      </w:r>
    </w:p>
    <w:p>
      <w:pPr>
        <w:pStyle w:val="ListBullet"/>
        <w:spacing w:before="0" w:after="60" w:line="276" w:lineRule="auto"/>
        <w:jc w:val="both"/>
        <w:widowControl/>
      </w:pPr>
      <w:r>
        <w:rPr>
          <w:rFonts w:ascii="Calibri" w:hAnsi="Calibri"/>
          <w:b/>
          <w:color w:val="2E7D32"/>
          <w:sz w:val="24"/>
        </w:rPr>
        <w:t xml:space="preserve">Gap 1 (Taxonomic Breadth): </w:t>
      </w:r>
      <w:r>
        <w:rPr>
          <w:rFonts w:ascii="Calibri" w:hAnsi="Calibri"/>
          <w:color w:val="263238"/>
          <w:sz w:val="24"/>
        </w:rPr>
        <w:t>Existing benchmarks artificially constrain scope to single-crop narrow classifications (average 14 crops, 38 classes). In commercial farming, multi-crop operations require a single unified diagnostic platform supporting 50+ crops.</w:t>
      </w:r>
    </w:p>
    <w:p>
      <w:pPr>
        <w:pStyle w:val="ListBullet"/>
        <w:spacing w:before="0" w:after="60" w:line="276" w:lineRule="auto"/>
        <w:jc w:val="both"/>
        <w:widowControl/>
      </w:pPr>
      <w:r>
        <w:rPr>
          <w:rFonts w:ascii="Calibri" w:hAnsi="Calibri"/>
          <w:b/>
          <w:color w:val="2E7D32"/>
          <w:sz w:val="24"/>
        </w:rPr>
        <w:t xml:space="preserve">Gap 2 (Head Decoupling): </w:t>
      </w:r>
      <w:r>
        <w:rPr>
          <w:rFonts w:ascii="Calibri" w:hAnsi="Calibri"/>
          <w:color w:val="263238"/>
          <w:sz w:val="24"/>
        </w:rPr>
        <w:t>Standard CNN classifiers enforce monolithic single-head outputs, forcing 300+ classes into a single Softmax layer that suffers from severe gradient interference.</w:t>
      </w:r>
    </w:p>
    <w:p>
      <w:pPr>
        <w:pStyle w:val="ListBullet"/>
        <w:spacing w:before="0" w:after="60" w:line="276" w:lineRule="auto"/>
        <w:jc w:val="both"/>
        <w:widowControl/>
      </w:pPr>
      <w:r>
        <w:rPr>
          <w:rFonts w:ascii="Calibri" w:hAnsi="Calibri"/>
          <w:b/>
          <w:color w:val="2E7D32"/>
          <w:sz w:val="24"/>
        </w:rPr>
        <w:t xml:space="preserve">Gap 3 (Confidence Calibration): </w:t>
      </w:r>
      <w:r>
        <w:rPr>
          <w:rFonts w:ascii="Calibri" w:hAnsi="Calibri"/>
          <w:color w:val="263238"/>
          <w:sz w:val="24"/>
        </w:rPr>
        <w:t>Traditional models lack calibration, outputting high confidence on non-leaf background objects and inducing false chemical application.</w:t>
      </w:r>
    </w:p>
    <w:p>
      <w:pPr>
        <w:pStyle w:val="ListBullet"/>
        <w:spacing w:before="0" w:after="60" w:line="276" w:lineRule="auto"/>
        <w:jc w:val="both"/>
        <w:widowControl/>
      </w:pPr>
      <w:r>
        <w:rPr>
          <w:rFonts w:ascii="Calibri" w:hAnsi="Calibri"/>
          <w:b/>
          <w:color w:val="2E7D32"/>
          <w:sz w:val="24"/>
        </w:rPr>
        <w:t xml:space="preserve">Gap 4 (Clinical Advisory Linkage): </w:t>
      </w:r>
      <w:r>
        <w:rPr>
          <w:rFonts w:ascii="Calibri" w:hAnsi="Calibri"/>
          <w:color w:val="263238"/>
          <w:sz w:val="24"/>
        </w:rPr>
        <w:t>Existing academic vision systems terminate at text class labels, failing to provide actionable chemical, organic, and preventive treatment guidance.</w:t>
      </w:r>
    </w:p>
    <w:p>
      <w:pPr>
        <w:pStyle w:val="ListBullet"/>
        <w:spacing w:before="0" w:after="60" w:line="276" w:lineRule="auto"/>
        <w:jc w:val="both"/>
        <w:widowControl/>
      </w:pPr>
      <w:r>
        <w:rPr>
          <w:rFonts w:ascii="Calibri" w:hAnsi="Calibri"/>
          <w:b/>
          <w:color w:val="2E7D32"/>
          <w:sz w:val="24"/>
        </w:rPr>
        <w:t xml:space="preserve">Gap 5 (Production Architecture): </w:t>
      </w:r>
      <w:r>
        <w:rPr>
          <w:rFonts w:ascii="Calibri" w:hAnsi="Calibri"/>
          <w:color w:val="263238"/>
          <w:sz w:val="24"/>
        </w:rPr>
        <w:t>Prevailing systems lack enterprise software qualities, such as asynchronous ASGI event loops, WAL-based database concurrency, IDOR authorization, and automated clinical PDF reporting.</w:t>
      </w:r>
    </w:p>
    <w:p>
      <w:r>
        <w:br w:type="page"/>
      </w:r>
    </w:p>
    <w:p>
      <w:pPr>
        <w:keepNext/>
        <w:spacing w:before="360" w:after="120"/>
        <w:jc w:val="center"/>
      </w:pPr>
      <w:r>
        <w:rPr>
          <w:rFonts w:ascii="Calibri" w:hAnsi="Calibri"/>
          <w:b/>
          <w:color w:val="1B5E20"/>
          <w:sz w:val="30"/>
        </w:rPr>
        <w:t>CHAPTER 3: SOFTWARE REQUIREMENTS SPECIFICATION (IEEE 830 SRS)</w:t>
      </w:r>
    </w:p>
    <w:p>
      <w:pPr>
        <w:keepNext/>
        <w:spacing w:before="280" w:after="80"/>
      </w:pPr>
      <w:r>
        <w:rPr>
          <w:rFonts w:ascii="Calibri" w:hAnsi="Calibri"/>
          <w:b/>
          <w:color w:val="2E7D32"/>
          <w:sz w:val="26"/>
        </w:rPr>
        <w:t>3.1 Overview &amp; Conformance to IEEE 830 SRS Standard</w:t>
      </w:r>
    </w:p>
    <w:p>
      <w:pPr>
        <w:spacing w:before="0" w:after="90" w:line="276" w:lineRule="auto"/>
        <w:jc w:val="both"/>
        <w:widowControl/>
      </w:pPr>
      <w:r>
        <w:rPr>
          <w:rFonts w:ascii="Calibri" w:hAnsi="Calibri"/>
          <w:color w:val="263238"/>
          <w:sz w:val="24"/>
        </w:rPr>
        <w:t>This chapter defines the formal Software Requirements Specification (SRS) for the Multi-Crop Plant Disease Detection and Advisory System. Conforming strictly to the IEEE 830-1998 Recommended Practice for Software Requirements Specifications, this document delineates the functional boundaries, operational constraints, system performance parameters, hardware infrastructure prerequisites, and feasibility criteria governing system development.</w:t>
      </w:r>
    </w:p>
    <w:p>
      <w:pPr>
        <w:spacing w:before="0" w:after="90" w:line="276" w:lineRule="auto"/>
        <w:jc w:val="both"/>
        <w:widowControl/>
      </w:pPr>
      <w:r>
        <w:rPr>
          <w:rFonts w:ascii="Calibri" w:hAnsi="Calibri"/>
          <w:color w:val="263238"/>
          <w:sz w:val="24"/>
        </w:rPr>
        <w:t>The primary engineering purpose of this system is to provide an accessible, fault-tolerant, and clinically actionable diagnostic service that accepts unconstrained foliar imagery from field farmers and extension agronomists, executes high-confidence dual-head Vision Transformer inference across 55 crops, and outputs five-pillar agronomic prescriptions accompanied by official clinical PDF reports.</w:t>
      </w:r>
    </w:p>
    <w:p>
      <w:pPr>
        <w:keepNext/>
        <w:spacing w:before="280" w:after="80"/>
      </w:pPr>
      <w:r>
        <w:rPr>
          <w:rFonts w:ascii="Calibri" w:hAnsi="Calibri"/>
          <w:b/>
          <w:color w:val="2E7D32"/>
          <w:sz w:val="26"/>
        </w:rPr>
        <w:t>3.2 User Characteristics &amp; Operational Environment</w:t>
      </w:r>
    </w:p>
    <w:p>
      <w:pPr>
        <w:spacing w:before="0" w:after="90" w:line="276" w:lineRule="auto"/>
        <w:jc w:val="both"/>
        <w:widowControl/>
      </w:pPr>
      <w:r>
        <w:rPr>
          <w:rFonts w:ascii="Calibri" w:hAnsi="Calibri"/>
          <w:color w:val="263238"/>
          <w:sz w:val="24"/>
        </w:rPr>
        <w:t>The system interfaces with three distinct user personas, each characterized by specific technical proficiencies and operational requirements:</w:t>
      </w:r>
    </w:p>
    <w:p>
      <w:pPr>
        <w:pStyle w:val="ListBullet"/>
        <w:spacing w:before="0" w:after="60" w:line="276" w:lineRule="auto"/>
        <w:jc w:val="both"/>
        <w:widowControl/>
      </w:pPr>
      <w:r>
        <w:rPr>
          <w:rFonts w:ascii="Calibri" w:hAnsi="Calibri"/>
          <w:b/>
          <w:color w:val="2E7D32"/>
          <w:sz w:val="24"/>
        </w:rPr>
        <w:t xml:space="preserve">1. Primary Producers (Smallholder &amp; Commercial Farmers): </w:t>
      </w:r>
      <w:r>
        <w:rPr>
          <w:rFonts w:ascii="Calibri" w:hAnsi="Calibri"/>
          <w:color w:val="263238"/>
          <w:sz w:val="24"/>
        </w:rPr>
        <w:t>Possess basic smartphone literacy. Primary requirement is a zero-friction, drag-and-drop or camera-capture interface with immediate visual diagnostic feedback in local languages, clear confidence indicators, and simple organic and chemical remedies without technical jargon.</w:t>
      </w:r>
    </w:p>
    <w:p>
      <w:pPr>
        <w:pStyle w:val="ListBullet"/>
        <w:spacing w:before="0" w:after="60" w:line="276" w:lineRule="auto"/>
        <w:jc w:val="both"/>
        <w:widowControl/>
      </w:pPr>
      <w:r>
        <w:rPr>
          <w:rFonts w:ascii="Calibri" w:hAnsi="Calibri"/>
          <w:b/>
          <w:color w:val="2E7D32"/>
          <w:sz w:val="24"/>
        </w:rPr>
        <w:t xml:space="preserve">2. Agricultural Extension Officers &amp; Agronomists: </w:t>
      </w:r>
      <w:r>
        <w:rPr>
          <w:rFonts w:ascii="Calibri" w:hAnsi="Calibri"/>
          <w:color w:val="263238"/>
          <w:sz w:val="24"/>
        </w:rPr>
        <w:t>Possess formal agricultural training. Require access to Top-3 differential diagnostic alternatives, marginal plant and disease probabilities, chemical fungicide dosages, active chemical ingredients, and downloadable clinical PDF reports for field advisory documentation.</w:t>
      </w:r>
    </w:p>
    <w:p>
      <w:pPr>
        <w:pStyle w:val="ListBullet"/>
        <w:spacing w:before="0" w:after="60" w:line="276" w:lineRule="auto"/>
        <w:jc w:val="both"/>
        <w:widowControl/>
      </w:pPr>
      <w:r>
        <w:rPr>
          <w:rFonts w:ascii="Calibri" w:hAnsi="Calibri"/>
          <w:b/>
          <w:color w:val="2E7D32"/>
          <w:sz w:val="24"/>
        </w:rPr>
        <w:t xml:space="preserve">3. System Administrators &amp; Research Analysts: </w:t>
      </w:r>
      <w:r>
        <w:rPr>
          <w:rFonts w:ascii="Calibri" w:hAnsi="Calibri"/>
          <w:color w:val="263238"/>
          <w:sz w:val="24"/>
        </w:rPr>
        <w:t>Possess computer science and database proficiency. Require system health monitoring endpoints (/health, /health/ready), audit logging, database backup mechanisms in SQLite WAL mode, and secure administrative authentication.</w:t>
      </w:r>
    </w:p>
    <w:p>
      <w:pPr>
        <w:spacing w:before="0" w:after="90" w:line="276" w:lineRule="auto"/>
        <w:jc w:val="both"/>
        <w:widowControl/>
      </w:pPr>
      <w:r>
        <w:rPr>
          <w:rFonts w:ascii="Calibri" w:hAnsi="Calibri"/>
          <w:color w:val="263238"/>
          <w:sz w:val="24"/>
        </w:rPr>
        <w:t>The operational environment encompasses client devices operating on modern HTML5 web browsers (Google Chrome, Mozilla Firefox, Safari) across mobile (Android/iOS) and desktop platforms, communicating via HTTPS REST protocols with an asynchronous FastAPI application container hosted on Linux (Ubuntu 22.04 LTS / Debian 12) with optional NVIDIA CUDA acceleration.</w:t>
      </w:r>
    </w:p>
    <w:p>
      <w:pPr>
        <w:keepNext/>
        <w:spacing w:before="280" w:after="80"/>
      </w:pPr>
      <w:r>
        <w:rPr>
          <w:rFonts w:ascii="Calibri" w:hAnsi="Calibri"/>
          <w:b/>
          <w:color w:val="2E7D32"/>
          <w:sz w:val="26"/>
        </w:rPr>
        <w:t>3.3 Functional Requirements Specification (FR-01 to FR-12)</w:t>
      </w:r>
    </w:p>
    <w:p>
      <w:pPr>
        <w:spacing w:before="0" w:after="90" w:line="276" w:lineRule="auto"/>
        <w:jc w:val="both"/>
        <w:widowControl/>
      </w:pPr>
      <w:r>
        <w:rPr>
          <w:rFonts w:ascii="Calibri" w:hAnsi="Calibri"/>
          <w:color w:val="263238"/>
          <w:sz w:val="24"/>
        </w:rPr>
        <w:t>The functional scope of the platform is decomposed into twelve formal Functional Requirements (FR-01 to FR-12), covering the complete diagnostic lifecycle from binary ingestion to persistent record storage.</w:t>
      </w:r>
    </w:p>
    <w:p>
      <w:pPr>
        <w:keepNext/>
        <w:spacing w:before="160" w:after="60"/>
      </w:pPr>
      <w:r>
        <w:rPr>
          <w:rFonts w:ascii="Calibri" w:hAnsi="Calibri"/>
          <w:b/>
          <w:color w:val="1B5E20"/>
          <w:sz w:val="20"/>
        </w:rPr>
        <w:t>Table 3.1: Formal IEEE 830 Functional Requirements Specification (FR-01 to FR-12)</w:t>
      </w:r>
    </w:p>
    <w:tbl>
      <w:tblPr>
        <w:tblW w:type="auto" w:w="0"/>
        <w:jc w:val="center"/>
        <w:tblLook w:firstColumn="1" w:firstRow="1" w:lastColumn="0" w:lastRow="0" w:noHBand="0" w:noVBand="1" w:val="04A0"/>
      </w:tblPr>
      <w:tblGrid>
        <w:gridCol w:w="1734"/>
        <w:gridCol w:w="1734"/>
        <w:gridCol w:w="1734"/>
        <w:gridCol w:w="1734"/>
        <w:gridCol w:w="1734"/>
      </w:tblGrid>
      <w:tr>
        <w:trPr>
          <w:tblHeader/>
          <w:cantSplit/>
        </w:trPr>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Req ID</w:t>
            </w:r>
          </w:p>
        </w:tc>
        <w:tc>
          <w:tcPr>
            <w:tcW w:type="dxa" w:w="2160"/>
            <w:shd w:fill="2E7D32"/>
            <w:tcMar>
              <w:top w:w="70" w:type="dxa"/>
              <w:bottom w:w="70" w:type="dxa"/>
              <w:left w:w="90" w:type="dxa"/>
              <w:right w:w="90" w:type="dxa"/>
            </w:tcMar>
          </w:tcPr>
          <w:p>
            <w:pPr>
              <w:spacing w:after="0" w:before="0"/>
              <w:jc w:val="center"/>
            </w:pPr>
            <w:r>
              <w:rPr>
                <w:rFonts w:ascii="Calibri" w:hAnsi="Calibri"/>
                <w:b/>
                <w:color w:val="FFFFFF"/>
                <w:sz w:val="19"/>
              </w:rPr>
              <w:t>Requirement Title</w:t>
            </w:r>
          </w:p>
        </w:tc>
        <w:tc>
          <w:tcPr>
            <w:tcW w:type="dxa" w:w="3168"/>
            <w:shd w:fill="2E7D32"/>
            <w:tcMar>
              <w:top w:w="70" w:type="dxa"/>
              <w:bottom w:w="70" w:type="dxa"/>
              <w:left w:w="90" w:type="dxa"/>
              <w:right w:w="90" w:type="dxa"/>
            </w:tcMar>
          </w:tcPr>
          <w:p>
            <w:pPr>
              <w:spacing w:after="0" w:before="0"/>
              <w:jc w:val="center"/>
            </w:pPr>
            <w:r>
              <w:rPr>
                <w:rFonts w:ascii="Calibri" w:hAnsi="Calibri"/>
                <w:b/>
                <w:color w:val="FFFFFF"/>
                <w:sz w:val="19"/>
              </w:rPr>
              <w:t>Operational Functional Description</w:t>
            </w:r>
          </w:p>
        </w:tc>
        <w:tc>
          <w:tcPr>
            <w:tcW w:type="dxa" w:w="1872"/>
            <w:shd w:fill="2E7D32"/>
            <w:tcMar>
              <w:top w:w="70" w:type="dxa"/>
              <w:bottom w:w="70" w:type="dxa"/>
              <w:left w:w="90" w:type="dxa"/>
              <w:right w:w="90" w:type="dxa"/>
            </w:tcMar>
          </w:tcPr>
          <w:p>
            <w:pPr>
              <w:spacing w:after="0" w:before="0"/>
              <w:jc w:val="center"/>
            </w:pPr>
            <w:r>
              <w:rPr>
                <w:rFonts w:ascii="Calibri" w:hAnsi="Calibri"/>
                <w:b/>
                <w:color w:val="FFFFFF"/>
                <w:sz w:val="19"/>
              </w:rPr>
              <w:t>Input Data Payload</w:t>
            </w:r>
          </w:p>
        </w:tc>
        <w:tc>
          <w:tcPr>
            <w:tcW w:type="dxa" w:w="2016"/>
            <w:shd w:fill="2E7D32"/>
            <w:tcMar>
              <w:top w:w="70" w:type="dxa"/>
              <w:bottom w:w="70" w:type="dxa"/>
              <w:left w:w="90" w:type="dxa"/>
              <w:right w:w="90" w:type="dxa"/>
            </w:tcMar>
          </w:tcPr>
          <w:p>
            <w:pPr>
              <w:spacing w:after="0" w:before="0"/>
              <w:jc w:val="center"/>
            </w:pPr>
            <w:r>
              <w:rPr>
                <w:rFonts w:ascii="Calibri" w:hAnsi="Calibri"/>
                <w:b/>
                <w:color w:val="FFFFFF"/>
                <w:sz w:val="19"/>
              </w:rPr>
              <w:t>Expected Output</w:t>
            </w:r>
          </w:p>
        </w:tc>
      </w:tr>
      <w:tr>
        <w:trPr>
          <w:cantSplit/>
        </w:trPr>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FR-01</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Foliar Image Ingestion &amp; Boundary Guard</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The system shall ingest foliar images via multipart/form-data POST requests, verifying MIME type (image/jpeg, image/png, image/webp) and rejecting files exceeding 10 MB or containing 0 bytes.</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Multipart binary payload with content-type headers.</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Decoded PIL Image stream or HTTP 400/413 error.</w:t>
            </w:r>
          </w:p>
        </w:tc>
      </w:tr>
      <w:tr>
        <w:trPr>
          <w:cantSplit/>
        </w:trPr>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FR-02</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Tensor Normalization &amp; Preprocessing Pipeline</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The system shall transform input imagery into a 3-channel (224x224) RGB tensor, applying bicubic interpolation, center cropping, and standard ImageNet mean ([0.485, 0.456, 0.406]) and std ([0.229, 0.224, 0.225]) normalization.</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PIL Image object of arbitrary dimensions.</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PyTorch float32 tensor of shape (1, 3, 224, 224).</w:t>
            </w:r>
          </w:p>
        </w:tc>
      </w:tr>
      <w:tr>
        <w:trPr>
          <w:cantSplit/>
        </w:trPr>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FR-03</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ViT-Base Feature Extraction</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The system shall project patch embeddings through 12 Transformer Encoder layers with 12 self-attention heads, generating a 768-dimensional latent vector z from the prepended [CLS] token.</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Normalized image tensor (1, 3, 224, 224).</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Latent vector z in R^{768} capturing global semantic context.</w:t>
            </w:r>
          </w:p>
        </w:tc>
      </w:tr>
      <w:tr>
        <w:trPr>
          <w:cantSplit/>
        </w:trPr>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FR-04</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Decoupled Dual-Head Linear Projections</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The system shall project the 768-dim latent vector simultaneously across a 55-class Plant Head and a 175-class Disease Head, computing independent logit vectors.</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Latent embedding vector z (1, 768).</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Logits_plant in R^{55} and Logits_disease in R^{175}.</w:t>
            </w:r>
          </w:p>
        </w:tc>
      </w:tr>
      <w:tr>
        <w:trPr>
          <w:cantSplit/>
        </w:trPr>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FR-05</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Softmax Marginal Distribution Computation</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The system shall apply the Softmax activation function independently to plant and disease logits to compute normalized marginal probability distributions P_P and P_D.</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Raw model logits from dual linear projections.</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Probability vectors P_P in [0, 1]^55 and P_D in [0, 1]^175 (sum = 1.0).</w:t>
            </w:r>
          </w:p>
        </w:tc>
      </w:tr>
      <w:tr>
        <w:trPr>
          <w:cantSplit/>
        </w:trPr>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FR-06</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Taxonomic Matrix Constraint Enforcement</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The system shall iterate exclusively across the 333 biologically verified crop-disease pairs in Omega, evaluating joint candidate probabilities P_P[i] * P_D[j] and filtering unviable biological combinations.</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Marginal distributions and taxonomy constraint matrix.</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Candidate candidate array of size 333 with joint likelihoods.</w:t>
            </w:r>
          </w:p>
        </w:tc>
      </w:tr>
      <w:tr>
        <w:trPr>
          <w:cantSplit/>
        </w:trPr>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FR-07</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Geometric-Mean Confidence Calibration</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The system shall compute the calibrated confidence score for each pair via S = sqrt(max(0, P_P * P_D)) * 100, guaranteeing monotonic differential ranking across candidates.</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Joint probability products for all 333 pairs.</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Calibrated percentage confidence scores S_k in [0.0, 100.0].</w:t>
            </w:r>
          </w:p>
        </w:tc>
      </w:tr>
      <w:tr>
        <w:trPr>
          <w:cantSplit/>
        </w:trPr>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FR-08</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Out-of-Distribution (OOD) Gating Guard</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The system shall evaluate Top-1 confidence against threshold theta = 40.0%. If Top-1 &lt; 40.0%, it flags the input as an uncertain non-crop artifact and suppresses agronomic prescriptions.</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Top-1 candidate confidence score.</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Gating decision: is_background=True (OOD) or False (In-Domain).</w:t>
            </w:r>
          </w:p>
        </w:tc>
      </w:tr>
      <w:tr>
        <w:trPr>
          <w:cantSplit/>
        </w:trPr>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FR-09</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Top-3 Differential Diagnostic Ranking</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The system shall return a sorted list of the Top-3 differential diagnoses with individual confidence scores, crop slugs, disease slugs, and marginal head likelihoods.</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Ranked candidate array.</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Top-3 diagnosis JSON array formatted for frontend differential cards.</w:t>
            </w:r>
          </w:p>
        </w:tc>
      </w:tr>
      <w:tr>
        <w:trPr>
          <w:cantSplit/>
        </w:trPr>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FR-10</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5-Pillar Agronomic Advisory Resolution</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The system shall resolve verified foliar diagnoses to actionable treatment protocols across 5 distinct pillars: Symptoms, Cause/Etiology, Organic Remedies, Chemical Treatments, and Preventive Measures.</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Top-1 resolved crop and disease identifiers.</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Comprehensive 5-pillar advisory dictionary.</w:t>
            </w:r>
          </w:p>
        </w:tc>
      </w:tr>
      <w:tr>
        <w:trPr>
          <w:cantSplit/>
        </w:trPr>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FR-11</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Automated Clinical PDF Diagnostic Report Generation</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The system shall render an official, publication-grade clinical diagnostic report in PDF format via ReportLab, incorporating laboratory metadata, leaf image, confidence meter, and 5-pillar tables.</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Prediction ID, User authentication context, diagnostic record.</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Binary application/pdf document stream.</w:t>
            </w:r>
          </w:p>
        </w:tc>
      </w:tr>
      <w:tr>
        <w:trPr>
          <w:cantSplit/>
        </w:trPr>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FR-12</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Write-Ahead Logging (WAL) Diagnostic Persistence</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The system shall record every valid diagnostic scan in SQLite under PRAGMA journal_mode = WAL, capturing user ID, crop, disease, calibrated confidence, image path, and timestamp.</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User session token and completed diagnostic record.</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Persistent database record with indexed primary key ID.</w:t>
            </w:r>
          </w:p>
        </w:tc>
      </w:tr>
    </w:tbl>
    <w:p>
      <w:pPr>
        <w:spacing w:after="80"/>
      </w:pPr>
    </w:p>
    <w:p>
      <w:pPr>
        <w:keepNext/>
        <w:spacing w:before="280" w:after="80"/>
      </w:pPr>
      <w:r>
        <w:rPr>
          <w:rFonts w:ascii="Calibri" w:hAnsi="Calibri"/>
          <w:b/>
          <w:color w:val="2E7D32"/>
          <w:sz w:val="26"/>
        </w:rPr>
        <w:t>3.4 Non-Functional Requirements Specification (NFR-01 to NFR-10)</w:t>
      </w:r>
    </w:p>
    <w:p>
      <w:pPr>
        <w:spacing w:before="0" w:after="90" w:line="276" w:lineRule="auto"/>
        <w:jc w:val="both"/>
        <w:widowControl/>
      </w:pPr>
      <w:r>
        <w:rPr>
          <w:rFonts w:ascii="Calibri" w:hAnsi="Calibri"/>
          <w:color w:val="263238"/>
          <w:sz w:val="24"/>
        </w:rPr>
        <w:t>Non-functional requirements dictate the operational quality, security posture, computational efficiency, and maintainability of the software system under production workloads.</w:t>
      </w:r>
    </w:p>
    <w:p>
      <w:pPr>
        <w:keepNext/>
        <w:spacing w:before="160" w:after="60"/>
      </w:pPr>
      <w:r>
        <w:rPr>
          <w:rFonts w:ascii="Calibri" w:hAnsi="Calibri"/>
          <w:b/>
          <w:color w:val="1B5E20"/>
          <w:sz w:val="20"/>
        </w:rPr>
        <w:t>Table 3.2: Formal IEEE 830 Non-Functional Requirements Specification (NFR-01 to NFR-10)</w:t>
      </w:r>
    </w:p>
    <w:tbl>
      <w:tblPr>
        <w:tblW w:type="auto" w:w="0"/>
        <w:jc w:val="center"/>
        <w:tblLook w:firstColumn="1" w:firstRow="1" w:lastColumn="0" w:lastRow="0" w:noHBand="0" w:noVBand="1" w:val="04A0"/>
      </w:tblPr>
      <w:tblGrid>
        <w:gridCol w:w="1734"/>
        <w:gridCol w:w="1734"/>
        <w:gridCol w:w="1734"/>
        <w:gridCol w:w="1734"/>
        <w:gridCol w:w="1734"/>
      </w:tblGrid>
      <w:tr>
        <w:trPr>
          <w:tblHeader/>
          <w:cantSplit/>
        </w:trPr>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Req ID</w:t>
            </w:r>
          </w:p>
        </w:tc>
        <w:tc>
          <w:tcPr>
            <w:tcW w:type="dxa" w:w="1584"/>
            <w:shd w:fill="2E7D32"/>
            <w:tcMar>
              <w:top w:w="70" w:type="dxa"/>
              <w:bottom w:w="70" w:type="dxa"/>
              <w:left w:w="90" w:type="dxa"/>
              <w:right w:w="90" w:type="dxa"/>
            </w:tcMar>
          </w:tcPr>
          <w:p>
            <w:pPr>
              <w:spacing w:after="0" w:before="0"/>
              <w:jc w:val="center"/>
            </w:pPr>
            <w:r>
              <w:rPr>
                <w:rFonts w:ascii="Calibri" w:hAnsi="Calibri"/>
                <w:b/>
                <w:color w:val="FFFFFF"/>
                <w:sz w:val="19"/>
              </w:rPr>
              <w:t>Quality Category</w:t>
            </w:r>
          </w:p>
        </w:tc>
        <w:tc>
          <w:tcPr>
            <w:tcW w:type="dxa" w:w="1872"/>
            <w:shd w:fill="2E7D32"/>
            <w:tcMar>
              <w:top w:w="70" w:type="dxa"/>
              <w:bottom w:w="70" w:type="dxa"/>
              <w:left w:w="90" w:type="dxa"/>
              <w:right w:w="90" w:type="dxa"/>
            </w:tcMar>
          </w:tcPr>
          <w:p>
            <w:pPr>
              <w:spacing w:after="0" w:before="0"/>
              <w:jc w:val="center"/>
            </w:pPr>
            <w:r>
              <w:rPr>
                <w:rFonts w:ascii="Calibri" w:hAnsi="Calibri"/>
                <w:b/>
                <w:color w:val="FFFFFF"/>
                <w:sz w:val="19"/>
              </w:rPr>
              <w:t>Metric Evaluated</w:t>
            </w:r>
          </w:p>
        </w:tc>
        <w:tc>
          <w:tcPr>
            <w:tcW w:type="dxa" w:w="3168"/>
            <w:shd w:fill="2E7D32"/>
            <w:tcMar>
              <w:top w:w="70" w:type="dxa"/>
              <w:bottom w:w="70" w:type="dxa"/>
              <w:left w:w="90" w:type="dxa"/>
              <w:right w:w="90" w:type="dxa"/>
            </w:tcMar>
          </w:tcPr>
          <w:p>
            <w:pPr>
              <w:spacing w:after="0" w:before="0"/>
              <w:jc w:val="center"/>
            </w:pPr>
            <w:r>
              <w:rPr>
                <w:rFonts w:ascii="Calibri" w:hAnsi="Calibri"/>
                <w:b/>
                <w:color w:val="FFFFFF"/>
                <w:sz w:val="19"/>
              </w:rPr>
              <w:t>Technical Specification &amp; Target</w:t>
            </w:r>
          </w:p>
        </w:tc>
        <w:tc>
          <w:tcPr>
            <w:tcW w:type="dxa" w:w="2592"/>
            <w:shd w:fill="2E7D32"/>
            <w:tcMar>
              <w:top w:w="70" w:type="dxa"/>
              <w:bottom w:w="70" w:type="dxa"/>
              <w:left w:w="90" w:type="dxa"/>
              <w:right w:w="90" w:type="dxa"/>
            </w:tcMar>
          </w:tcPr>
          <w:p>
            <w:pPr>
              <w:spacing w:after="0" w:before="0"/>
              <w:jc w:val="center"/>
            </w:pPr>
            <w:r>
              <w:rPr>
                <w:rFonts w:ascii="Calibri" w:hAnsi="Calibri"/>
                <w:b/>
                <w:color w:val="FFFFFF"/>
                <w:sz w:val="19"/>
              </w:rPr>
              <w:t>Verification Method</w:t>
            </w:r>
          </w:p>
        </w:tc>
      </w:tr>
      <w:tr>
        <w:trPr>
          <w:cantSplit/>
        </w:trPr>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NFR-01</w:t>
            </w:r>
          </w:p>
        </w:tc>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Performance</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Inference Latency</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The end-to-end inference pipeline (preprocessing, forward pass, confidence calibration) shall execute in &lt;200ms on GPU and &lt;1500ms on multi-core CPU.</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Benchmarked via automated Locust load testing and torch.cuda.Event timers.</w:t>
            </w:r>
          </w:p>
        </w:tc>
      </w:tr>
      <w:tr>
        <w:trPr>
          <w:cantSplit/>
        </w:trPr>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NFR-02</w:t>
            </w:r>
          </w:p>
        </w:tc>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Scalability</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Request Throughput</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The asynchronous FastAPI ASGI architecture shall sustain &gt;=50 concurrent diagnostic requests per second without connection dropouts.</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Load simulation with 100 concurrent workers via Locust framework.</w:t>
            </w:r>
          </w:p>
        </w:tc>
      </w:tr>
      <w:tr>
        <w:trPr>
          <w:cantSplit/>
        </w:trPr>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NFR-03</w:t>
            </w:r>
          </w:p>
        </w:tc>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Reliability</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System Availability</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The service shall maintain &gt;=99.5% operational uptime with graceful exception boundaries and automatic model reload on failure.</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Continuous automated health probes (/health and /health/ready).</w:t>
            </w:r>
          </w:p>
        </w:tc>
      </w:tr>
      <w:tr>
        <w:trPr>
          <w:cantSplit/>
        </w:trPr>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NFR-04</w:t>
            </w:r>
          </w:p>
        </w:tc>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Concurrency</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Database Lock Contention</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The database access layer shall operate in SQLite WAL mode with busy_timeout = 5000ms, ensuring non-blocking concurrent reads during active writes.</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Stress testing with 20 parallel worker threads executing simultaneous writes.</w:t>
            </w:r>
          </w:p>
        </w:tc>
      </w:tr>
      <w:tr>
        <w:trPr>
          <w:cantSplit/>
        </w:trPr>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NFR-05</w:t>
            </w:r>
          </w:p>
        </w:tc>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Security</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Payload Size &amp; DoS Protection</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The ingestion gateway shall strictly reject multipart payloads &gt;10 MB with HTTP 413, preventing memory exhaustion and DoS attacks.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Automated security test case TC-07 executing 11.5 MB file upload.</w:t>
            </w:r>
          </w:p>
        </w:tc>
      </w:tr>
      <w:tr>
        <w:trPr>
          <w:cantSplit/>
        </w:trPr>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NFR-06</w:t>
            </w:r>
          </w:p>
        </w:tc>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Security</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Authorization &amp; IDOR Defense</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All historical records and PDF report endpoints shall enforce JWT Bearer token ownership checks, returning HTTP 403 upon cross-user access attempts.</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Automated security test case TC-18 validating cross-tenant boundary isolation.</w:t>
            </w:r>
          </w:p>
        </w:tc>
      </w:tr>
      <w:tr>
        <w:trPr>
          <w:cantSplit/>
        </w:trPr>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NFR-07</w:t>
            </w:r>
          </w:p>
        </w:tc>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Accuracy</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Classification Performance</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The ViT dual-head model shall achieve &gt;=95.0% Top-1 accuracy and &gt;=98.0% Top-3 accuracy on in-domain multi-crop validation splits.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Empirical evaluation on 30-image field validation benchmark.</w:t>
            </w:r>
          </w:p>
        </w:tc>
      </w:tr>
      <w:tr>
        <w:trPr>
          <w:cantSplit/>
        </w:trPr>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NFR-08</w:t>
            </w:r>
          </w:p>
        </w:tc>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Robustness</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Out-of-Distribution Gating</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The calibration gate shall achieve &gt;=98.0% true negative rejection on non-foliar artifacts (household objects, plain textures, skin).</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Empirical validation against 50 diverse non-crop background images.</w:t>
            </w:r>
          </w:p>
        </w:tc>
      </w:tr>
      <w:tr>
        <w:trPr>
          <w:cantSplit/>
        </w:trPr>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NFR-09</w:t>
            </w:r>
          </w:p>
        </w:tc>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Usability</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Mobile &amp; Client Responsiveness</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The frontend user interface shall adapt fluidly across viewport widths from 360px (mobile) to 2560px (ultra-wide desktop) with touch-friendly controls.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Responsive audits in Chrome DevTools across iPhone, iPad, and Desktop viewports.</w:t>
            </w:r>
          </w:p>
        </w:tc>
      </w:tr>
      <w:tr>
        <w:trPr>
          <w:cantSplit/>
        </w:trPr>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NFR-10</w:t>
            </w:r>
          </w:p>
        </w:tc>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Maintainability</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Modular Decoupling</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Neural weights, taxonomy definitions, database schemas, and advisory rules shall reside in modular configuration assets without code-level hardcoding.</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Clean separation of models_assets/ JSON schemas from inference execution logic.</w:t>
            </w:r>
          </w:p>
        </w:tc>
      </w:tr>
    </w:tbl>
    <w:p>
      <w:pPr>
        <w:spacing w:after="80"/>
      </w:pPr>
    </w:p>
    <w:p>
      <w:pPr>
        <w:keepNext/>
        <w:spacing w:before="280" w:after="80"/>
      </w:pPr>
      <w:r>
        <w:rPr>
          <w:rFonts w:ascii="Calibri" w:hAnsi="Calibri"/>
          <w:b/>
          <w:color w:val="2E7D32"/>
          <w:sz w:val="26"/>
        </w:rPr>
        <w:t>3.5 System Hardware &amp; Infrastructure Specifications</w:t>
      </w:r>
    </w:p>
    <w:p>
      <w:pPr>
        <w:spacing w:before="0" w:after="90" w:line="276" w:lineRule="auto"/>
        <w:jc w:val="both"/>
        <w:widowControl/>
      </w:pPr>
      <w:r>
        <w:rPr>
          <w:rFonts w:ascii="Calibri" w:hAnsi="Calibri"/>
          <w:color w:val="263238"/>
          <w:sz w:val="24"/>
        </w:rPr>
        <w:t>To support both high-throughput neural inference and distributed edge access, the system specifies three tiers of hardware infrastructure:</w:t>
      </w:r>
    </w:p>
    <w:p>
      <w:pPr>
        <w:keepNext/>
        <w:spacing w:before="160" w:after="60"/>
      </w:pPr>
      <w:r>
        <w:rPr>
          <w:rFonts w:ascii="Calibri" w:hAnsi="Calibri"/>
          <w:b/>
          <w:color w:val="1B5E20"/>
          <w:sz w:val="20"/>
        </w:rPr>
        <w:t>Table 3.3: Hardware specifications for model training, production hosting, and edge client access</w:t>
      </w:r>
    </w:p>
    <w:tbl>
      <w:tblPr>
        <w:tblW w:type="auto" w:w="0"/>
        <w:jc w:val="center"/>
        <w:tblLook w:firstColumn="1" w:firstRow="1" w:lastColumn="0" w:lastRow="0" w:noHBand="0" w:noVBand="1" w:val="04A0"/>
      </w:tblPr>
      <w:tblGrid>
        <w:gridCol w:w="2167"/>
        <w:gridCol w:w="2167"/>
        <w:gridCol w:w="2167"/>
        <w:gridCol w:w="2167"/>
      </w:tblGrid>
      <w:tr>
        <w:trPr>
          <w:tblHeader/>
          <w:cantSplit/>
        </w:trPr>
        <w:tc>
          <w:tcPr>
            <w:tcW w:type="dxa" w:w="2160"/>
            <w:shd w:fill="2E7D32"/>
            <w:tcMar>
              <w:top w:w="70" w:type="dxa"/>
              <w:bottom w:w="70" w:type="dxa"/>
              <w:left w:w="90" w:type="dxa"/>
              <w:right w:w="90" w:type="dxa"/>
            </w:tcMar>
          </w:tcPr>
          <w:p>
            <w:pPr>
              <w:spacing w:after="0" w:before="0"/>
              <w:jc w:val="center"/>
            </w:pPr>
            <w:r>
              <w:rPr>
                <w:rFonts w:ascii="Calibri" w:hAnsi="Calibri"/>
                <w:b/>
                <w:color w:val="FFFFFF"/>
                <w:sz w:val="19"/>
              </w:rPr>
              <w:t>Infrastructure Tier</w:t>
            </w:r>
          </w:p>
        </w:tc>
        <w:tc>
          <w:tcPr>
            <w:tcW w:type="dxa" w:w="1872"/>
            <w:shd w:fill="2E7D32"/>
            <w:tcMar>
              <w:top w:w="70" w:type="dxa"/>
              <w:bottom w:w="70" w:type="dxa"/>
              <w:left w:w="90" w:type="dxa"/>
              <w:right w:w="90" w:type="dxa"/>
            </w:tcMar>
          </w:tcPr>
          <w:p>
            <w:pPr>
              <w:spacing w:after="0" w:before="0"/>
              <w:jc w:val="center"/>
            </w:pPr>
            <w:r>
              <w:rPr>
                <w:rFonts w:ascii="Calibri" w:hAnsi="Calibri"/>
                <w:b/>
                <w:color w:val="FFFFFF"/>
                <w:sz w:val="19"/>
              </w:rPr>
              <w:t>Component</w:t>
            </w:r>
          </w:p>
        </w:tc>
        <w:tc>
          <w:tcPr>
            <w:tcW w:type="dxa" w:w="3024"/>
            <w:shd w:fill="2E7D32"/>
            <w:tcMar>
              <w:top w:w="70" w:type="dxa"/>
              <w:bottom w:w="70" w:type="dxa"/>
              <w:left w:w="90" w:type="dxa"/>
              <w:right w:w="90" w:type="dxa"/>
            </w:tcMar>
          </w:tcPr>
          <w:p>
            <w:pPr>
              <w:spacing w:after="0" w:before="0"/>
              <w:jc w:val="center"/>
            </w:pPr>
            <w:r>
              <w:rPr>
                <w:rFonts w:ascii="Calibri" w:hAnsi="Calibri"/>
                <w:b/>
                <w:color w:val="FFFFFF"/>
                <w:sz w:val="19"/>
              </w:rPr>
              <w:t>Minimum Specification</w:t>
            </w:r>
          </w:p>
        </w:tc>
        <w:tc>
          <w:tcPr>
            <w:tcW w:type="dxa" w:w="3312"/>
            <w:shd w:fill="2E7D32"/>
            <w:tcMar>
              <w:top w:w="70" w:type="dxa"/>
              <w:bottom w:w="70" w:type="dxa"/>
              <w:left w:w="90" w:type="dxa"/>
              <w:right w:w="90" w:type="dxa"/>
            </w:tcMar>
          </w:tcPr>
          <w:p>
            <w:pPr>
              <w:spacing w:after="0" w:before="0"/>
              <w:jc w:val="center"/>
            </w:pPr>
            <w:r>
              <w:rPr>
                <w:rFonts w:ascii="Calibri" w:hAnsi="Calibri"/>
                <w:b/>
                <w:color w:val="FFFFFF"/>
                <w:sz w:val="19"/>
              </w:rPr>
              <w:t>Recommended Production Specification</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Model Training Node</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Processor (CPU)</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8-Core Intel Core i7 / AMD Ryzen 7</w:t>
            </w:r>
          </w:p>
        </w:tc>
        <w:tc>
          <w:tcPr>
            <w:tcW w:type="dxa" w:w="3312"/>
            <w:shd w:fill="FFFFFF"/>
            <w:tcMar>
              <w:top w:w="50" w:type="dxa"/>
              <w:bottom w:w="50" w:type="dxa"/>
              <w:left w:w="90" w:type="dxa"/>
              <w:right w:w="90" w:type="dxa"/>
            </w:tcMar>
          </w:tcPr>
          <w:p>
            <w:pPr>
              <w:spacing w:after="0" w:before="0" w:line="252" w:lineRule="auto"/>
              <w:jc w:val="left"/>
            </w:pPr>
            <w:r>
              <w:rPr>
                <w:rFonts w:ascii="Calibri" w:hAnsi="Calibri"/>
                <w:color w:val="263238"/>
                <w:sz w:val="18"/>
              </w:rPr>
              <w:t>16-Core AMD EPYC / Intel Xeon Scalable</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Model Training Node</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Graphics (GPU)</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NVIDIA RTX 3060 (12 GB VRAM)</w:t>
            </w:r>
          </w:p>
        </w:tc>
        <w:tc>
          <w:tcPr>
            <w:tcW w:type="dxa" w:w="3312"/>
            <w:shd w:fill="F9FBE7"/>
            <w:tcMar>
              <w:top w:w="50" w:type="dxa"/>
              <w:bottom w:w="50" w:type="dxa"/>
              <w:left w:w="90" w:type="dxa"/>
              <w:right w:w="90" w:type="dxa"/>
            </w:tcMar>
          </w:tcPr>
          <w:p>
            <w:pPr>
              <w:spacing w:after="0" w:before="0" w:line="252" w:lineRule="auto"/>
              <w:jc w:val="left"/>
            </w:pPr>
            <w:r>
              <w:rPr>
                <w:rFonts w:ascii="Calibri" w:hAnsi="Calibri"/>
                <w:color w:val="263238"/>
                <w:sz w:val="18"/>
              </w:rPr>
              <w:t>NVIDIA A100 / RTX 4090 (24 GB VRAM)</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Model Training Node</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System Memory (RAM)</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32 GB DDR4-3200</w:t>
            </w:r>
          </w:p>
        </w:tc>
        <w:tc>
          <w:tcPr>
            <w:tcW w:type="dxa" w:w="3312"/>
            <w:shd w:fill="FFFFFF"/>
            <w:tcMar>
              <w:top w:w="50" w:type="dxa"/>
              <w:bottom w:w="50" w:type="dxa"/>
              <w:left w:w="90" w:type="dxa"/>
              <w:right w:w="90" w:type="dxa"/>
            </w:tcMar>
          </w:tcPr>
          <w:p>
            <w:pPr>
              <w:spacing w:after="0" w:before="0" w:line="252" w:lineRule="auto"/>
              <w:jc w:val="left"/>
            </w:pPr>
            <w:r>
              <w:rPr>
                <w:rFonts w:ascii="Calibri" w:hAnsi="Calibri"/>
                <w:color w:val="263238"/>
                <w:sz w:val="18"/>
              </w:rPr>
              <w:t>64 GB DDR5-4800 ECC</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Model Training Node</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Storage</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512 GB NVMe M.2 SSD</w:t>
            </w:r>
          </w:p>
        </w:tc>
        <w:tc>
          <w:tcPr>
            <w:tcW w:type="dxa" w:w="3312"/>
            <w:shd w:fill="F9FBE7"/>
            <w:tcMar>
              <w:top w:w="50" w:type="dxa"/>
              <w:bottom w:w="50" w:type="dxa"/>
              <w:left w:w="90" w:type="dxa"/>
              <w:right w:w="90" w:type="dxa"/>
            </w:tcMar>
          </w:tcPr>
          <w:p>
            <w:pPr>
              <w:spacing w:after="0" w:before="0" w:line="252" w:lineRule="auto"/>
              <w:jc w:val="left"/>
            </w:pPr>
            <w:r>
              <w:rPr>
                <w:rFonts w:ascii="Calibri" w:hAnsi="Calibri"/>
                <w:color w:val="263238"/>
                <w:sz w:val="18"/>
              </w:rPr>
              <w:t>2 TB PCIe Gen4 NVMe SSD (7000 MB/s)</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Inference Server Node</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Processor (CPU)</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4-Core x86_64 Processor (2.4 GHz)</w:t>
            </w:r>
          </w:p>
        </w:tc>
        <w:tc>
          <w:tcPr>
            <w:tcW w:type="dxa" w:w="3312"/>
            <w:shd w:fill="FFFFFF"/>
            <w:tcMar>
              <w:top w:w="50" w:type="dxa"/>
              <w:bottom w:w="50" w:type="dxa"/>
              <w:left w:w="90" w:type="dxa"/>
              <w:right w:w="90" w:type="dxa"/>
            </w:tcMar>
          </w:tcPr>
          <w:p>
            <w:pPr>
              <w:spacing w:after="0" w:before="0" w:line="252" w:lineRule="auto"/>
              <w:jc w:val="left"/>
            </w:pPr>
            <w:r>
              <w:rPr>
                <w:rFonts w:ascii="Calibri" w:hAnsi="Calibri"/>
                <w:color w:val="263238"/>
                <w:sz w:val="18"/>
              </w:rPr>
              <w:t>8-Core Intel Xeon / AMD EPYC (3.2 GHz)</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Inference Server Node</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Graphics (GPU)</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None (CPU Inference Fallback)</w:t>
            </w:r>
          </w:p>
        </w:tc>
        <w:tc>
          <w:tcPr>
            <w:tcW w:type="dxa" w:w="3312"/>
            <w:shd w:fill="F9FBE7"/>
            <w:tcMar>
              <w:top w:w="50" w:type="dxa"/>
              <w:bottom w:w="50" w:type="dxa"/>
              <w:left w:w="90" w:type="dxa"/>
              <w:right w:w="90" w:type="dxa"/>
            </w:tcMar>
          </w:tcPr>
          <w:p>
            <w:pPr>
              <w:spacing w:after="0" w:before="0" w:line="252" w:lineRule="auto"/>
              <w:jc w:val="left"/>
            </w:pPr>
            <w:r>
              <w:rPr>
                <w:rFonts w:ascii="Calibri" w:hAnsi="Calibri"/>
                <w:color w:val="263238"/>
                <w:sz w:val="18"/>
              </w:rPr>
              <w:t>NVIDIA T4 / RTX 3060 (Sub-150ms Latency)</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Inference Server Node</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System Memory (RAM)</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8 GB DDR4</w:t>
            </w:r>
          </w:p>
        </w:tc>
        <w:tc>
          <w:tcPr>
            <w:tcW w:type="dxa" w:w="3312"/>
            <w:shd w:fill="FFFFFF"/>
            <w:tcMar>
              <w:top w:w="50" w:type="dxa"/>
              <w:bottom w:w="50" w:type="dxa"/>
              <w:left w:w="90" w:type="dxa"/>
              <w:right w:w="90" w:type="dxa"/>
            </w:tcMar>
          </w:tcPr>
          <w:p>
            <w:pPr>
              <w:spacing w:after="0" w:before="0" w:line="252" w:lineRule="auto"/>
              <w:jc w:val="left"/>
            </w:pPr>
            <w:r>
              <w:rPr>
                <w:rFonts w:ascii="Calibri" w:hAnsi="Calibri"/>
                <w:color w:val="263238"/>
                <w:sz w:val="18"/>
              </w:rPr>
              <w:t>16 GB DDR4/DDR5</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Inference Server Node</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Storage</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50 GB Available SSD Space</w:t>
            </w:r>
          </w:p>
        </w:tc>
        <w:tc>
          <w:tcPr>
            <w:tcW w:type="dxa" w:w="3312"/>
            <w:shd w:fill="F9FBE7"/>
            <w:tcMar>
              <w:top w:w="50" w:type="dxa"/>
              <w:bottom w:w="50" w:type="dxa"/>
              <w:left w:w="90" w:type="dxa"/>
              <w:right w:w="90" w:type="dxa"/>
            </w:tcMar>
          </w:tcPr>
          <w:p>
            <w:pPr>
              <w:spacing w:after="0" w:before="0" w:line="252" w:lineRule="auto"/>
              <w:jc w:val="left"/>
            </w:pPr>
            <w:r>
              <w:rPr>
                <w:rFonts w:ascii="Calibri" w:hAnsi="Calibri"/>
                <w:color w:val="263238"/>
                <w:sz w:val="18"/>
              </w:rPr>
              <w:t>250 GB Enterprise NVMe SSD</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Inference Server Node</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Network Interface</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100 Mbps Ethernet</w:t>
            </w:r>
          </w:p>
        </w:tc>
        <w:tc>
          <w:tcPr>
            <w:tcW w:type="dxa" w:w="3312"/>
            <w:shd w:fill="FFFFFF"/>
            <w:tcMar>
              <w:top w:w="50" w:type="dxa"/>
              <w:bottom w:w="50" w:type="dxa"/>
              <w:left w:w="90" w:type="dxa"/>
              <w:right w:w="90" w:type="dxa"/>
            </w:tcMar>
          </w:tcPr>
          <w:p>
            <w:pPr>
              <w:spacing w:after="0" w:before="0" w:line="252" w:lineRule="auto"/>
              <w:jc w:val="left"/>
            </w:pPr>
            <w:r>
              <w:rPr>
                <w:rFonts w:ascii="Calibri" w:hAnsi="Calibri"/>
                <w:color w:val="263238"/>
                <w:sz w:val="18"/>
              </w:rPr>
              <w:t>1 Gbps Full-Duplex Optical Uplink</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Edge Client Device</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Form Factor</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Smartphone / Tablet / Laptop</w:t>
            </w:r>
          </w:p>
        </w:tc>
        <w:tc>
          <w:tcPr>
            <w:tcW w:type="dxa" w:w="3312"/>
            <w:shd w:fill="F9FBE7"/>
            <w:tcMar>
              <w:top w:w="50" w:type="dxa"/>
              <w:bottom w:w="50" w:type="dxa"/>
              <w:left w:w="90" w:type="dxa"/>
              <w:right w:w="90" w:type="dxa"/>
            </w:tcMar>
          </w:tcPr>
          <w:p>
            <w:pPr>
              <w:spacing w:after="0" w:before="0" w:line="252" w:lineRule="auto"/>
              <w:jc w:val="left"/>
            </w:pPr>
            <w:r>
              <w:rPr>
                <w:rFonts w:ascii="Calibri" w:hAnsi="Calibri"/>
                <w:color w:val="263238"/>
                <w:sz w:val="18"/>
              </w:rPr>
              <w:t>Modern Smartphone (Android 10+ / iOS 14+)</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Edge Client Device</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Browser Engine</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Chromium 90+, Safari 14+, Firefox 88+</w:t>
            </w:r>
          </w:p>
        </w:tc>
        <w:tc>
          <w:tcPr>
            <w:tcW w:type="dxa" w:w="3312"/>
            <w:shd w:fill="FFFFFF"/>
            <w:tcMar>
              <w:top w:w="50" w:type="dxa"/>
              <w:bottom w:w="50" w:type="dxa"/>
              <w:left w:w="90" w:type="dxa"/>
              <w:right w:w="90" w:type="dxa"/>
            </w:tcMar>
          </w:tcPr>
          <w:p>
            <w:pPr>
              <w:spacing w:after="0" w:before="0" w:line="252" w:lineRule="auto"/>
              <w:jc w:val="left"/>
            </w:pPr>
            <w:r>
              <w:rPr>
                <w:rFonts w:ascii="Calibri" w:hAnsi="Calibri"/>
                <w:color w:val="263238"/>
                <w:sz w:val="18"/>
              </w:rPr>
              <w:t>Latest Stable Chrome / Safari with WebGL</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Edge Client Device</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Camera Sensor</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5 Megapixel Auto-Focus Sensor</w:t>
            </w:r>
          </w:p>
        </w:tc>
        <w:tc>
          <w:tcPr>
            <w:tcW w:type="dxa" w:w="3312"/>
            <w:shd w:fill="F9FBE7"/>
            <w:tcMar>
              <w:top w:w="50" w:type="dxa"/>
              <w:bottom w:w="50" w:type="dxa"/>
              <w:left w:w="90" w:type="dxa"/>
              <w:right w:w="90" w:type="dxa"/>
            </w:tcMar>
          </w:tcPr>
          <w:p>
            <w:pPr>
              <w:spacing w:after="0" w:before="0" w:line="252" w:lineRule="auto"/>
              <w:jc w:val="left"/>
            </w:pPr>
            <w:r>
              <w:rPr>
                <w:rFonts w:ascii="Calibri" w:hAnsi="Calibri"/>
                <w:color w:val="263238"/>
                <w:sz w:val="18"/>
              </w:rPr>
              <w:t>12+ Megapixel Sensor with Macro Capability</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Edge Client Device</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Connectivity</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3G Cellular (&gt;=384 Kbps)</w:t>
            </w:r>
          </w:p>
        </w:tc>
        <w:tc>
          <w:tcPr>
            <w:tcW w:type="dxa" w:w="3312"/>
            <w:shd w:fill="FFFFFF"/>
            <w:tcMar>
              <w:top w:w="50" w:type="dxa"/>
              <w:bottom w:w="50" w:type="dxa"/>
              <w:left w:w="90" w:type="dxa"/>
              <w:right w:w="90" w:type="dxa"/>
            </w:tcMar>
          </w:tcPr>
          <w:p>
            <w:pPr>
              <w:spacing w:after="0" w:before="0" w:line="252" w:lineRule="auto"/>
              <w:jc w:val="left"/>
            </w:pPr>
            <w:r>
              <w:rPr>
                <w:rFonts w:ascii="Calibri" w:hAnsi="Calibri"/>
                <w:color w:val="263238"/>
                <w:sz w:val="18"/>
              </w:rPr>
              <w:t>4G LTE / 5G / Wi-Fi (&gt;=10 Mbps)</w:t>
            </w:r>
          </w:p>
        </w:tc>
      </w:tr>
    </w:tbl>
    <w:p>
      <w:pPr>
        <w:spacing w:after="80"/>
      </w:pPr>
    </w:p>
    <w:p>
      <w:pPr>
        <w:keepNext/>
        <w:spacing w:before="280" w:after="80"/>
      </w:pPr>
      <w:r>
        <w:rPr>
          <w:rFonts w:ascii="Calibri" w:hAnsi="Calibri"/>
          <w:b/>
          <w:color w:val="2E7D32"/>
          <w:sz w:val="26"/>
        </w:rPr>
        <w:t>3.6 Software Stack &amp; Runtime Dependency Specifications</w:t>
      </w:r>
    </w:p>
    <w:p>
      <w:pPr>
        <w:spacing w:before="0" w:after="90" w:line="276" w:lineRule="auto"/>
        <w:jc w:val="both"/>
        <w:widowControl/>
      </w:pPr>
      <w:r>
        <w:rPr>
          <w:rFonts w:ascii="Calibri" w:hAnsi="Calibri"/>
          <w:color w:val="263238"/>
          <w:sz w:val="24"/>
        </w:rPr>
        <w:t>The software environment is engineered around modern, open-source computational libraries optimized for asynchronous I/O and hardware-accelerated deep learning:</w:t>
      </w:r>
    </w:p>
    <w:p>
      <w:pPr>
        <w:keepNext/>
        <w:spacing w:before="160" w:after="60"/>
      </w:pPr>
      <w:r>
        <w:rPr>
          <w:rFonts w:ascii="Calibri" w:hAnsi="Calibri"/>
          <w:b/>
          <w:color w:val="1B5E20"/>
          <w:sz w:val="20"/>
        </w:rPr>
        <w:t>Table 3.4: Production software environment and runtime dependency specifications</w:t>
      </w:r>
    </w:p>
    <w:tbl>
      <w:tblPr>
        <w:tblW w:type="auto" w:w="0"/>
        <w:jc w:val="center"/>
        <w:tblLook w:firstColumn="1" w:firstRow="1" w:lastColumn="0" w:lastRow="0" w:noHBand="0" w:noVBand="1" w:val="04A0"/>
      </w:tblPr>
      <w:tblGrid>
        <w:gridCol w:w="2167"/>
        <w:gridCol w:w="2167"/>
        <w:gridCol w:w="2167"/>
        <w:gridCol w:w="2167"/>
      </w:tblGrid>
      <w:tr>
        <w:trPr>
          <w:tblHeader/>
          <w:cantSplit/>
        </w:trPr>
        <w:tc>
          <w:tcPr>
            <w:tcW w:type="dxa" w:w="2016"/>
            <w:shd w:fill="2E7D32"/>
            <w:tcMar>
              <w:top w:w="70" w:type="dxa"/>
              <w:bottom w:w="70" w:type="dxa"/>
              <w:left w:w="90" w:type="dxa"/>
              <w:right w:w="90" w:type="dxa"/>
            </w:tcMar>
          </w:tcPr>
          <w:p>
            <w:pPr>
              <w:spacing w:after="0" w:before="0"/>
              <w:jc w:val="center"/>
            </w:pPr>
            <w:r>
              <w:rPr>
                <w:rFonts w:ascii="Calibri" w:hAnsi="Calibri"/>
                <w:b/>
                <w:color w:val="FFFFFF"/>
                <w:sz w:val="19"/>
              </w:rPr>
              <w:t>Software Layer</w:t>
            </w:r>
          </w:p>
        </w:tc>
        <w:tc>
          <w:tcPr>
            <w:tcW w:type="dxa" w:w="2160"/>
            <w:shd w:fill="2E7D32"/>
            <w:tcMar>
              <w:top w:w="70" w:type="dxa"/>
              <w:bottom w:w="70" w:type="dxa"/>
              <w:left w:w="90" w:type="dxa"/>
              <w:right w:w="90" w:type="dxa"/>
            </w:tcMar>
          </w:tcPr>
          <w:p>
            <w:pPr>
              <w:spacing w:after="0" w:before="0"/>
              <w:jc w:val="center"/>
            </w:pPr>
            <w:r>
              <w:rPr>
                <w:rFonts w:ascii="Calibri" w:hAnsi="Calibri"/>
                <w:b/>
                <w:color w:val="FFFFFF"/>
                <w:sz w:val="19"/>
              </w:rPr>
              <w:t>Technology / Framework</w:t>
            </w:r>
          </w:p>
        </w:tc>
        <w:tc>
          <w:tcPr>
            <w:tcW w:type="dxa" w:w="1440"/>
            <w:shd w:fill="2E7D32"/>
            <w:tcMar>
              <w:top w:w="70" w:type="dxa"/>
              <w:bottom w:w="70" w:type="dxa"/>
              <w:left w:w="90" w:type="dxa"/>
              <w:right w:w="90" w:type="dxa"/>
            </w:tcMar>
          </w:tcPr>
          <w:p>
            <w:pPr>
              <w:spacing w:after="0" w:before="0"/>
              <w:jc w:val="center"/>
            </w:pPr>
            <w:r>
              <w:rPr>
                <w:rFonts w:ascii="Calibri" w:hAnsi="Calibri"/>
                <w:b/>
                <w:color w:val="FFFFFF"/>
                <w:sz w:val="19"/>
              </w:rPr>
              <w:t>Version</w:t>
            </w:r>
          </w:p>
        </w:tc>
        <w:tc>
          <w:tcPr>
            <w:tcW w:type="dxa" w:w="4752"/>
            <w:shd w:fill="2E7D32"/>
            <w:tcMar>
              <w:top w:w="70" w:type="dxa"/>
              <w:bottom w:w="70" w:type="dxa"/>
              <w:left w:w="90" w:type="dxa"/>
              <w:right w:w="90" w:type="dxa"/>
            </w:tcMar>
          </w:tcPr>
          <w:p>
            <w:pPr>
              <w:spacing w:after="0" w:before="0"/>
              <w:jc w:val="center"/>
            </w:pPr>
            <w:r>
              <w:rPr>
                <w:rFonts w:ascii="Calibri" w:hAnsi="Calibri"/>
                <w:b/>
                <w:color w:val="FFFFFF"/>
                <w:sz w:val="19"/>
              </w:rPr>
              <w:t>Architectural Role &amp; Functional Justification</w:t>
            </w:r>
          </w:p>
        </w:tc>
      </w:tr>
      <w:tr>
        <w:trPr>
          <w:cantSplit/>
        </w:trPr>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Operating System</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Ubuntu Linux / Debian</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22.04 LTS</w:t>
            </w:r>
          </w:p>
        </w:tc>
        <w:tc>
          <w:tcPr>
            <w:tcW w:type="dxa" w:w="4752"/>
            <w:shd w:fill="FFFFFF"/>
            <w:tcMar>
              <w:top w:w="50" w:type="dxa"/>
              <w:bottom w:w="50" w:type="dxa"/>
              <w:left w:w="90" w:type="dxa"/>
              <w:right w:w="90" w:type="dxa"/>
            </w:tcMar>
          </w:tcPr>
          <w:p>
            <w:pPr>
              <w:spacing w:after="0" w:before="0" w:line="252" w:lineRule="auto"/>
              <w:jc w:val="left"/>
            </w:pPr>
            <w:r>
              <w:rPr>
                <w:rFonts w:ascii="Calibri" w:hAnsi="Calibri"/>
                <w:color w:val="263238"/>
                <w:sz w:val="18"/>
              </w:rPr>
              <w:t>Stable POSIX runtime environment with robust kernel process isolation.</w:t>
            </w:r>
          </w:p>
        </w:tc>
      </w:tr>
      <w:tr>
        <w:trPr>
          <w:cantSplit/>
        </w:trPr>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Programming Language</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Python</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3.10 / 3.11 / 3.12</w:t>
            </w:r>
          </w:p>
        </w:tc>
        <w:tc>
          <w:tcPr>
            <w:tcW w:type="dxa" w:w="4752"/>
            <w:shd w:fill="F9FBE7"/>
            <w:tcMar>
              <w:top w:w="50" w:type="dxa"/>
              <w:bottom w:w="50" w:type="dxa"/>
              <w:left w:w="90" w:type="dxa"/>
              <w:right w:w="90" w:type="dxa"/>
            </w:tcMar>
          </w:tcPr>
          <w:p>
            <w:pPr>
              <w:spacing w:after="0" w:before="0" w:line="252" w:lineRule="auto"/>
              <w:jc w:val="left"/>
            </w:pPr>
            <w:r>
              <w:rPr>
                <w:rFonts w:ascii="Calibri" w:hAnsi="Calibri"/>
                <w:color w:val="263238"/>
                <w:sz w:val="18"/>
              </w:rPr>
              <w:t>Primary execution runtime for machine learning and asynchronous backend.</w:t>
            </w:r>
          </w:p>
        </w:tc>
      </w:tr>
      <w:tr>
        <w:trPr>
          <w:cantSplit/>
        </w:trPr>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Deep Learning Framework</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PyTorch</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2.0.0+</w:t>
            </w:r>
          </w:p>
        </w:tc>
        <w:tc>
          <w:tcPr>
            <w:tcW w:type="dxa" w:w="4752"/>
            <w:shd w:fill="FFFFFF"/>
            <w:tcMar>
              <w:top w:w="50" w:type="dxa"/>
              <w:bottom w:w="50" w:type="dxa"/>
              <w:left w:w="90" w:type="dxa"/>
              <w:right w:w="90" w:type="dxa"/>
            </w:tcMar>
          </w:tcPr>
          <w:p>
            <w:pPr>
              <w:spacing w:after="0" w:before="0" w:line="252" w:lineRule="auto"/>
              <w:jc w:val="left"/>
            </w:pPr>
            <w:r>
              <w:rPr>
                <w:rFonts w:ascii="Calibri" w:hAnsi="Calibri"/>
                <w:color w:val="263238"/>
                <w:sz w:val="18"/>
              </w:rPr>
              <w:t>Dynamic computational graph execution and tensor acceleration.</w:t>
            </w:r>
          </w:p>
        </w:tc>
      </w:tr>
      <w:tr>
        <w:trPr>
          <w:cantSplit/>
        </w:trPr>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Vision Model Library</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Timm (PyTorch Image Models)</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0.9.2+</w:t>
            </w:r>
          </w:p>
        </w:tc>
        <w:tc>
          <w:tcPr>
            <w:tcW w:type="dxa" w:w="4752"/>
            <w:shd w:fill="F9FBE7"/>
            <w:tcMar>
              <w:top w:w="50" w:type="dxa"/>
              <w:bottom w:w="50" w:type="dxa"/>
              <w:left w:w="90" w:type="dxa"/>
              <w:right w:w="90" w:type="dxa"/>
            </w:tcMar>
          </w:tcPr>
          <w:p>
            <w:pPr>
              <w:spacing w:after="0" w:before="0" w:line="252" w:lineRule="auto"/>
              <w:jc w:val="left"/>
            </w:pPr>
            <w:r>
              <w:rPr>
                <w:rFonts w:ascii="Calibri" w:hAnsi="Calibri"/>
                <w:color w:val="263238"/>
                <w:sz w:val="18"/>
              </w:rPr>
              <w:t>Pre-trained Vision Transformer backbone (vit_base_patch16_224).</w:t>
            </w:r>
          </w:p>
        </w:tc>
      </w:tr>
      <w:tr>
        <w:trPr>
          <w:cantSplit/>
        </w:trPr>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Image Preprocessing</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Torchvision &amp; PIL (Pillow)</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0.15.0+ / 10.0+</w:t>
            </w:r>
          </w:p>
        </w:tc>
        <w:tc>
          <w:tcPr>
            <w:tcW w:type="dxa" w:w="4752"/>
            <w:shd w:fill="FFFFFF"/>
            <w:tcMar>
              <w:top w:w="50" w:type="dxa"/>
              <w:bottom w:w="50" w:type="dxa"/>
              <w:left w:w="90" w:type="dxa"/>
              <w:right w:w="90" w:type="dxa"/>
            </w:tcMar>
          </w:tcPr>
          <w:p>
            <w:pPr>
              <w:spacing w:after="0" w:before="0" w:line="252" w:lineRule="auto"/>
              <w:jc w:val="left"/>
            </w:pPr>
            <w:r>
              <w:rPr>
                <w:rFonts w:ascii="Calibri" w:hAnsi="Calibri"/>
                <w:color w:val="263238"/>
                <w:sz w:val="18"/>
              </w:rPr>
              <w:t>Bicubic resizing, center cropping, and ImageNet tensor normalization.</w:t>
            </w:r>
          </w:p>
        </w:tc>
      </w:tr>
      <w:tr>
        <w:trPr>
          <w:cantSplit/>
        </w:trPr>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Web API Framework</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FastAPI (Starlette / Pydantic)</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0.104.0+</w:t>
            </w:r>
          </w:p>
        </w:tc>
        <w:tc>
          <w:tcPr>
            <w:tcW w:type="dxa" w:w="4752"/>
            <w:shd w:fill="F9FBE7"/>
            <w:tcMar>
              <w:top w:w="50" w:type="dxa"/>
              <w:bottom w:w="50" w:type="dxa"/>
              <w:left w:w="90" w:type="dxa"/>
              <w:right w:w="90" w:type="dxa"/>
            </w:tcMar>
          </w:tcPr>
          <w:p>
            <w:pPr>
              <w:spacing w:after="0" w:before="0" w:line="252" w:lineRule="auto"/>
              <w:jc w:val="left"/>
            </w:pPr>
            <w:r>
              <w:rPr>
                <w:rFonts w:ascii="Calibri" w:hAnsi="Calibri"/>
                <w:color w:val="263238"/>
                <w:sz w:val="18"/>
              </w:rPr>
              <w:t>Asynchronous ASGI routing, OpenAPI schema generation, and validation.</w:t>
            </w:r>
          </w:p>
        </w:tc>
      </w:tr>
      <w:tr>
        <w:trPr>
          <w:cantSplit/>
        </w:trPr>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ASGI Web Server</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Uvicorn</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0.24.0+</w:t>
            </w:r>
          </w:p>
        </w:tc>
        <w:tc>
          <w:tcPr>
            <w:tcW w:type="dxa" w:w="4752"/>
            <w:shd w:fill="FFFFFF"/>
            <w:tcMar>
              <w:top w:w="50" w:type="dxa"/>
              <w:bottom w:w="50" w:type="dxa"/>
              <w:left w:w="90" w:type="dxa"/>
              <w:right w:w="90" w:type="dxa"/>
            </w:tcMar>
          </w:tcPr>
          <w:p>
            <w:pPr>
              <w:spacing w:after="0" w:before="0" w:line="252" w:lineRule="auto"/>
              <w:jc w:val="left"/>
            </w:pPr>
            <w:r>
              <w:rPr>
                <w:rFonts w:ascii="Calibri" w:hAnsi="Calibri"/>
                <w:color w:val="263238"/>
                <w:sz w:val="18"/>
              </w:rPr>
              <w:t>Production-grade lightning-fast ASGI server with uvloop event loops.</w:t>
            </w:r>
          </w:p>
        </w:tc>
      </w:tr>
      <w:tr>
        <w:trPr>
          <w:cantSplit/>
        </w:trPr>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Database Engine</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SQLite3 (WAL Mode Enabled)</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3.37.0+</w:t>
            </w:r>
          </w:p>
        </w:tc>
        <w:tc>
          <w:tcPr>
            <w:tcW w:type="dxa" w:w="4752"/>
            <w:shd w:fill="F9FBE7"/>
            <w:tcMar>
              <w:top w:w="50" w:type="dxa"/>
              <w:bottom w:w="50" w:type="dxa"/>
              <w:left w:w="90" w:type="dxa"/>
              <w:right w:w="90" w:type="dxa"/>
            </w:tcMar>
          </w:tcPr>
          <w:p>
            <w:pPr>
              <w:spacing w:after="0" w:before="0" w:line="252" w:lineRule="auto"/>
              <w:jc w:val="left"/>
            </w:pPr>
            <w:r>
              <w:rPr>
                <w:rFonts w:ascii="Calibri" w:hAnsi="Calibri"/>
                <w:color w:val="263238"/>
                <w:sz w:val="18"/>
              </w:rPr>
              <w:t>Embedded zero-configuration database with multi-reader concurrency.</w:t>
            </w:r>
          </w:p>
        </w:tc>
      </w:tr>
      <w:tr>
        <w:trPr>
          <w:cantSplit/>
        </w:trPr>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Security &amp; Auth</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PyJWT &amp; Passlib (Bcrypt)</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2.8.0+ / 1.7.4+</w:t>
            </w:r>
          </w:p>
        </w:tc>
        <w:tc>
          <w:tcPr>
            <w:tcW w:type="dxa" w:w="4752"/>
            <w:shd w:fill="FFFFFF"/>
            <w:tcMar>
              <w:top w:w="50" w:type="dxa"/>
              <w:bottom w:w="50" w:type="dxa"/>
              <w:left w:w="90" w:type="dxa"/>
              <w:right w:w="90" w:type="dxa"/>
            </w:tcMar>
          </w:tcPr>
          <w:p>
            <w:pPr>
              <w:spacing w:after="0" w:before="0" w:line="252" w:lineRule="auto"/>
              <w:jc w:val="left"/>
            </w:pPr>
            <w:r>
              <w:rPr>
                <w:rFonts w:ascii="Calibri" w:hAnsi="Calibri"/>
                <w:color w:val="263238"/>
                <w:sz w:val="18"/>
              </w:rPr>
              <w:t>RFC 7519 JSON Web Token signing and salted password hashing.</w:t>
            </w:r>
          </w:p>
        </w:tc>
      </w:tr>
      <w:tr>
        <w:trPr>
          <w:cantSplit/>
        </w:trPr>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Clinical PDF Generation</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ReportLab</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4.0.0+</w:t>
            </w:r>
          </w:p>
        </w:tc>
        <w:tc>
          <w:tcPr>
            <w:tcW w:type="dxa" w:w="4752"/>
            <w:shd w:fill="F9FBE7"/>
            <w:tcMar>
              <w:top w:w="50" w:type="dxa"/>
              <w:bottom w:w="50" w:type="dxa"/>
              <w:left w:w="90" w:type="dxa"/>
              <w:right w:w="90" w:type="dxa"/>
            </w:tcMar>
          </w:tcPr>
          <w:p>
            <w:pPr>
              <w:spacing w:after="0" w:before="0" w:line="252" w:lineRule="auto"/>
              <w:jc w:val="left"/>
            </w:pPr>
            <w:r>
              <w:rPr>
                <w:rFonts w:ascii="Calibri" w:hAnsi="Calibri"/>
                <w:color w:val="263238"/>
                <w:sz w:val="18"/>
              </w:rPr>
              <w:t>Programmable Flowable PDF layout engine for official agronomic reports.</w:t>
            </w:r>
          </w:p>
        </w:tc>
      </w:tr>
      <w:tr>
        <w:trPr>
          <w:cantSplit/>
        </w:trPr>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Frontend Presentation</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HTML5 / Tailwind CSS / Vanilla JS</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ES6+ Standards</w:t>
            </w:r>
          </w:p>
        </w:tc>
        <w:tc>
          <w:tcPr>
            <w:tcW w:type="dxa" w:w="4752"/>
            <w:shd w:fill="FFFFFF"/>
            <w:tcMar>
              <w:top w:w="50" w:type="dxa"/>
              <w:bottom w:w="50" w:type="dxa"/>
              <w:left w:w="90" w:type="dxa"/>
              <w:right w:w="90" w:type="dxa"/>
            </w:tcMar>
          </w:tcPr>
          <w:p>
            <w:pPr>
              <w:spacing w:after="0" w:before="0" w:line="252" w:lineRule="auto"/>
              <w:jc w:val="left"/>
            </w:pPr>
            <w:r>
              <w:rPr>
                <w:rFonts w:ascii="Calibri" w:hAnsi="Calibri"/>
                <w:color w:val="263238"/>
                <w:sz w:val="18"/>
              </w:rPr>
              <w:t>Responsive, zero-dependency client UI with drag-and-drop file ingestion.</w:t>
            </w:r>
          </w:p>
        </w:tc>
      </w:tr>
    </w:tbl>
    <w:p>
      <w:pPr>
        <w:spacing w:after="80"/>
      </w:pPr>
    </w:p>
    <w:p>
      <w:pPr>
        <w:keepNext/>
        <w:spacing w:before="280" w:after="80"/>
      </w:pPr>
      <w:r>
        <w:rPr>
          <w:rFonts w:ascii="Calibri" w:hAnsi="Calibri"/>
          <w:b/>
          <w:color w:val="2E7D32"/>
          <w:sz w:val="26"/>
        </w:rPr>
        <w:t>3.7 Comprehensive Feasibility Study</w:t>
      </w:r>
    </w:p>
    <w:p>
      <w:pPr>
        <w:spacing w:before="0" w:after="90" w:line="276" w:lineRule="auto"/>
        <w:jc w:val="both"/>
        <w:widowControl/>
      </w:pPr>
      <w:r>
        <w:rPr>
          <w:rFonts w:ascii="Calibri" w:hAnsi="Calibri"/>
          <w:color w:val="263238"/>
          <w:sz w:val="24"/>
        </w:rPr>
        <w:t>Prior to full-scale architectural implementation, a four-tier feasibility assessment was conducted:</w:t>
      </w:r>
    </w:p>
    <w:p>
      <w:pPr>
        <w:pStyle w:val="ListBullet"/>
        <w:spacing w:before="0" w:after="60" w:line="276" w:lineRule="auto"/>
        <w:jc w:val="both"/>
        <w:widowControl/>
      </w:pPr>
      <w:r>
        <w:rPr>
          <w:rFonts w:ascii="Calibri" w:hAnsi="Calibri"/>
          <w:b/>
          <w:color w:val="2E7D32"/>
          <w:sz w:val="24"/>
        </w:rPr>
        <w:t xml:space="preserve">1. Technical Feasibility: </w:t>
      </w:r>
      <w:r>
        <w:rPr>
          <w:rFonts w:ascii="Calibri" w:hAnsi="Calibri"/>
          <w:color w:val="263238"/>
          <w:sz w:val="24"/>
        </w:rPr>
        <w:t>The technical feasibility is confirmed by the availability of mature, open-source Vision Transformer backbones (vit_base_patch16_224) capable of fine-tuning on consumer-grade GPUs (NVIDIA RTX 3060). Model forward pass latency is established at 138ms on GPU and 1350ms on CPU—well within real-time agricultural requirements. FastAPI provides mature asynchronous event loops, while SQLite WAL mode satisfies multi-reader transaction needs without heavyweight database server overhead.</w:t>
      </w:r>
    </w:p>
    <w:p>
      <w:pPr>
        <w:pStyle w:val="ListBullet"/>
        <w:spacing w:before="0" w:after="60" w:line="276" w:lineRule="auto"/>
        <w:jc w:val="both"/>
        <w:widowControl/>
      </w:pPr>
      <w:r>
        <w:rPr>
          <w:rFonts w:ascii="Calibri" w:hAnsi="Calibri"/>
          <w:b/>
          <w:color w:val="2E7D32"/>
          <w:sz w:val="24"/>
        </w:rPr>
        <w:t xml:space="preserve">2. Operational Feasibility: </w:t>
      </w:r>
      <w:r>
        <w:rPr>
          <w:rFonts w:ascii="Calibri" w:hAnsi="Calibri"/>
          <w:color w:val="263238"/>
          <w:sz w:val="24"/>
        </w:rPr>
        <w:t>The operational feasibility is exceptionally high. The platform requires zero native application installation; farmers access the service via standard mobile web browsers. The drag-and-drop interface provides immediate diagnostic results, while the 5-pillar advisory eliminates complex technical jargon, delivering actionable organic and chemical treatment instructions directly to field producers.</w:t>
      </w:r>
    </w:p>
    <w:p>
      <w:pPr>
        <w:pStyle w:val="ListBullet"/>
        <w:spacing w:before="0" w:after="60" w:line="276" w:lineRule="auto"/>
        <w:jc w:val="both"/>
        <w:widowControl/>
      </w:pPr>
      <w:r>
        <w:rPr>
          <w:rFonts w:ascii="Calibri" w:hAnsi="Calibri"/>
          <w:b/>
          <w:color w:val="2E7D32"/>
          <w:sz w:val="24"/>
        </w:rPr>
        <w:t xml:space="preserve">3. Economic Feasibility: </w:t>
      </w:r>
      <w:r>
        <w:rPr>
          <w:rFonts w:ascii="Calibri" w:hAnsi="Calibri"/>
          <w:color w:val="263238"/>
          <w:sz w:val="24"/>
        </w:rPr>
        <w:t>The economic feasibility is compelling. Traditional laboratory PCR foliar testing incurs 0 to 00 per sample. The proposed computational solution operates at near-zero marginal cost per scan (&lt;bash.001 in electricity and cloud compute). Open-source licensing across all libraries (PyTorch, FastAPI, SQLite) eliminates commercial software license expenditures.</w:t>
      </w:r>
    </w:p>
    <w:p>
      <w:pPr>
        <w:pStyle w:val="ListBullet"/>
        <w:spacing w:before="0" w:after="60" w:line="276" w:lineRule="auto"/>
        <w:jc w:val="both"/>
        <w:widowControl/>
      </w:pPr>
      <w:r>
        <w:rPr>
          <w:rFonts w:ascii="Calibri" w:hAnsi="Calibri"/>
          <w:b/>
          <w:color w:val="2E7D32"/>
          <w:sz w:val="24"/>
        </w:rPr>
        <w:t xml:space="preserve">4. Legal, Ethical &amp; Safety Feasibility: </w:t>
      </w:r>
      <w:r>
        <w:rPr>
          <w:rFonts w:ascii="Calibri" w:hAnsi="Calibri"/>
          <w:color w:val="263238"/>
          <w:sz w:val="24"/>
        </w:rPr>
        <w:t>The system adheres strictly to user data privacy guidelines. Only foliar imagery and scan timestamps are recorded; personal farmer identities remain decoupled. Chemical treatment advisories comply with standard Integrated Pest Management (IPM) regulatory guidelines, explicitly noting chemical pre-harvest intervals (PHI) to prevent food contamination.</w:t>
      </w:r>
    </w:p>
    <w:p>
      <w:r>
        <w:br w:type="page"/>
      </w:r>
    </w:p>
    <w:p>
      <w:pPr>
        <w:keepNext/>
        <w:spacing w:before="360" w:after="120"/>
        <w:jc w:val="center"/>
      </w:pPr>
      <w:r>
        <w:rPr>
          <w:rFonts w:ascii="Calibri" w:hAnsi="Calibri"/>
          <w:b/>
          <w:color w:val="1B5E20"/>
          <w:sz w:val="30"/>
        </w:rPr>
        <w:t>CHAPTER 4: SYSTEM DESIGN AND ARCHITECTURE</w:t>
      </w:r>
    </w:p>
    <w:p>
      <w:pPr>
        <w:keepNext/>
        <w:spacing w:before="280" w:after="80"/>
      </w:pPr>
      <w:r>
        <w:rPr>
          <w:rFonts w:ascii="Calibri" w:hAnsi="Calibri"/>
          <w:b/>
          <w:color w:val="2E7D32"/>
          <w:sz w:val="26"/>
        </w:rPr>
        <w:t>4.1 High-Level Layered System Architecture (Archify System View)</w:t>
      </w:r>
    </w:p>
    <w:p>
      <w:pPr>
        <w:spacing w:before="0" w:after="90" w:line="276" w:lineRule="auto"/>
        <w:jc w:val="both"/>
        <w:widowControl/>
      </w:pPr>
      <w:r>
        <w:rPr>
          <w:rFonts w:ascii="Calibri" w:hAnsi="Calibri"/>
          <w:color w:val="263238"/>
          <w:sz w:val="24"/>
        </w:rPr>
        <w:t>The architectural blueprint of the Multi-Crop Plant Disease Detection and Advisory Platform is structured as a decoupled, multi-tier distributed system. Engineered to support high-throughput, low-latency foliar inference across 55 crops, the architecture isolates concerns across five distinct logical tiers: (1) Client Presentation Tier, (2) API Gateway &amp; Security Ingestion Tier, (3) Neural Inference &amp; Calibration Tier, (4) Data Persistence &amp; Concurrency Tier, and (5) Agronomic Knowledge Base Tier.</w:t>
      </w:r>
    </w:p>
    <w:p>
      <w:pPr>
        <w:spacing w:before="0" w:after="90" w:line="276" w:lineRule="auto"/>
        <w:jc w:val="both"/>
        <w:widowControl/>
      </w:pPr>
      <w:r>
        <w:rPr>
          <w:rFonts w:ascii="Calibri" w:hAnsi="Calibri"/>
          <w:color w:val="263238"/>
          <w:sz w:val="24"/>
        </w:rPr>
        <w:t>Figure 4.1 illustrates the architectural hierarchy generated via the Archify architectural modeling engine, depicting component interactions, protocol boundaries, and asynchronous data flows across the system.</w:t>
      </w:r>
    </w:p>
    <w:p>
      <w:pPr>
        <w:keepNext/>
        <w:spacing w:before="160" w:after="40"/>
        <w:jc w:val="center"/>
      </w:pPr>
      <w:r>
        <w:drawing>
          <wp:inline xmlns:a="http://schemas.openxmlformats.org/drawingml/2006/main" xmlns:pic="http://schemas.openxmlformats.org/drawingml/2006/picture">
            <wp:extent cx="5120640" cy="2770931"/>
            <wp:docPr id="3" name="Picture 3"/>
            <wp:cNvGraphicFramePr>
              <a:graphicFrameLocks noChangeAspect="1"/>
            </wp:cNvGraphicFramePr>
            <a:graphic>
              <a:graphicData uri="http://schemas.openxmlformats.org/drawingml/2006/picture">
                <pic:pic>
                  <pic:nvPicPr>
                    <pic:cNvPr id="0" name="fig_4_1_system_architecture.png"/>
                    <pic:cNvPicPr/>
                  </pic:nvPicPr>
                  <pic:blipFill>
                    <a:blip r:embed="rId13"/>
                    <a:stretch>
                      <a:fillRect/>
                    </a:stretch>
                  </pic:blipFill>
                  <pic:spPr>
                    <a:xfrm>
                      <a:off x="0" y="0"/>
                      <a:ext cx="5120640" cy="2770931"/>
                    </a:xfrm>
                    <a:prstGeom prst="rect"/>
                  </pic:spPr>
                </pic:pic>
              </a:graphicData>
            </a:graphic>
          </wp:inline>
        </w:drawing>
      </w:r>
    </w:p>
    <w:p>
      <w:pPr>
        <w:keepNext/>
        <w:spacing w:before="40" w:after="40"/>
        <w:jc w:val="center"/>
      </w:pPr>
      <w:r>
        <w:rPr>
          <w:rFonts w:ascii="Calibri" w:hAnsi="Calibri"/>
          <w:b/>
          <w:color w:val="323232"/>
          <w:sz w:val="19"/>
        </w:rPr>
        <w:t>Fig. 4.1: High-level layered system architecture of the Multi-Crop Disease Detection &amp; Advisory Platform (Archify)</w:t>
      </w:r>
    </w:p>
    <w:p>
      <w:pPr>
        <w:spacing w:after="120"/>
        <w:jc w:val="center"/>
      </w:pPr>
      <w:r>
        <w:rPr>
          <w:rFonts w:ascii="Calibri" w:hAnsi="Calibri"/>
          <w:i/>
          <w:color w:val="1565C0"/>
          <w:sz w:val="17"/>
        </w:rPr>
        <w:t xml:space="preserve">🔗 [Interactive Live Diagram]: https://antigravity.internal/archify/system-architecture.html  </w:t>
      </w:r>
    </w:p>
    <w:p>
      <w:pPr>
        <w:spacing w:before="0" w:after="90" w:line="276" w:lineRule="auto"/>
        <w:jc w:val="both"/>
        <w:widowControl/>
      </w:pPr>
      <w:r>
        <w:rPr>
          <w:rFonts w:ascii="Calibri" w:hAnsi="Calibri"/>
          <w:color w:val="263238"/>
          <w:sz w:val="24"/>
        </w:rPr>
        <w:t>The functional responsibilities of each architectural tier are defined as follows:</w:t>
      </w:r>
    </w:p>
    <w:p>
      <w:pPr>
        <w:pStyle w:val="ListBullet"/>
        <w:spacing w:before="0" w:after="60" w:line="276" w:lineRule="auto"/>
        <w:jc w:val="both"/>
        <w:widowControl/>
      </w:pPr>
      <w:r>
        <w:rPr>
          <w:rFonts w:ascii="Calibri" w:hAnsi="Calibri"/>
          <w:b/>
          <w:color w:val="2E7D32"/>
          <w:sz w:val="24"/>
        </w:rPr>
        <w:t xml:space="preserve">1. Client Presentation Tier: </w:t>
      </w:r>
      <w:r>
        <w:rPr>
          <w:rFonts w:ascii="Calibri" w:hAnsi="Calibri"/>
          <w:color w:val="263238"/>
          <w:sz w:val="24"/>
        </w:rPr>
        <w:t>Delivers an accessible, zero-dependency HTML5/Tailwind interface operating directly in mobile and desktop browsers. Implements client-side MIME validation, drag-and-drop foliar image ingestion, real-time preview rendering, dynamic confidence gauge visualization, and responsive tabbed advisory modals.</w:t>
      </w:r>
    </w:p>
    <w:p>
      <w:pPr>
        <w:pStyle w:val="ListBullet"/>
        <w:spacing w:before="0" w:after="60" w:line="276" w:lineRule="auto"/>
        <w:jc w:val="both"/>
        <w:widowControl/>
      </w:pPr>
      <w:r>
        <w:rPr>
          <w:rFonts w:ascii="Calibri" w:hAnsi="Calibri"/>
          <w:b/>
          <w:color w:val="2E7D32"/>
          <w:sz w:val="24"/>
        </w:rPr>
        <w:t xml:space="preserve">2. API Gateway &amp; Security Tier: </w:t>
      </w:r>
      <w:r>
        <w:rPr>
          <w:rFonts w:ascii="Calibri" w:hAnsi="Calibri"/>
          <w:color w:val="263238"/>
          <w:sz w:val="24"/>
        </w:rPr>
        <w:t>Powered by an asynchronous FastAPI ASGI engine running under Uvicorn. Enforces strict boundary defenses, including a 10 MB payload size guard (HTTP 413), MIME sniffing protection, CORS access policies, and RFC 7519 JSON Web Token (JWT) Bearer authorization dependencies.</w:t>
      </w:r>
    </w:p>
    <w:p>
      <w:pPr>
        <w:pStyle w:val="ListBullet"/>
        <w:spacing w:before="0" w:after="60" w:line="276" w:lineRule="auto"/>
        <w:jc w:val="both"/>
        <w:widowControl/>
      </w:pPr>
      <w:r>
        <w:rPr>
          <w:rFonts w:ascii="Calibri" w:hAnsi="Calibri"/>
          <w:b/>
          <w:color w:val="2E7D32"/>
          <w:sz w:val="24"/>
        </w:rPr>
        <w:t xml:space="preserve">3. Neural Inference &amp; Calibration Tier: </w:t>
      </w:r>
      <w:r>
        <w:rPr>
          <w:rFonts w:ascii="Calibri" w:hAnsi="Calibri"/>
          <w:color w:val="263238"/>
          <w:sz w:val="24"/>
        </w:rPr>
        <w:t>Houses the PyTorch DPDInferenceEngine encapsulating the pre-trained Vision Transformer (vit_base_patch16_224). The engine converts raw image streams into normalized (1, 3, 224, 224) tensors, executes the forward pass through 12 Transformer layers, projects latent embeddings across decoupled Plant (55) and Disease (175) linear heads, computes Softmax marginals, filters unviable combinations across the 333 taxonomy matrix, and calculates geometric-mean confidence.</w:t>
      </w:r>
    </w:p>
    <w:p>
      <w:pPr>
        <w:pStyle w:val="ListBullet"/>
        <w:spacing w:before="0" w:after="60" w:line="276" w:lineRule="auto"/>
        <w:jc w:val="both"/>
        <w:widowControl/>
      </w:pPr>
      <w:r>
        <w:rPr>
          <w:rFonts w:ascii="Calibri" w:hAnsi="Calibri"/>
          <w:b/>
          <w:color w:val="2E7D32"/>
          <w:sz w:val="24"/>
        </w:rPr>
        <w:t xml:space="preserve">4. Data Persistence &amp; Concurrency Tier: </w:t>
      </w:r>
      <w:r>
        <w:rPr>
          <w:rFonts w:ascii="Calibri" w:hAnsi="Calibri"/>
          <w:color w:val="263238"/>
          <w:sz w:val="24"/>
        </w:rPr>
        <w:t>Manages relational data storage via SQLite3 operating under Write-Ahead Logging (WAL) journaling mode. Isolates farmer user accounts, maintains historical prediction logs with composite indexing (idx_predictions_user_created), and guarantees transaction durability without read-write lock contention.</w:t>
      </w:r>
    </w:p>
    <w:p>
      <w:pPr>
        <w:pStyle w:val="ListBullet"/>
        <w:spacing w:before="0" w:after="60" w:line="276" w:lineRule="auto"/>
        <w:jc w:val="both"/>
        <w:widowControl/>
      </w:pPr>
      <w:r>
        <w:rPr>
          <w:rFonts w:ascii="Calibri" w:hAnsi="Calibri"/>
          <w:b/>
          <w:color w:val="2E7D32"/>
          <w:sz w:val="24"/>
        </w:rPr>
        <w:t xml:space="preserve">5. Agronomic Knowledge Base Tier: </w:t>
      </w:r>
      <w:r>
        <w:rPr>
          <w:rFonts w:ascii="Calibri" w:hAnsi="Calibri"/>
          <w:color w:val="263238"/>
          <w:sz w:val="24"/>
        </w:rPr>
        <w:t>Comprises structured JSON knowledge bases (dpd_crop_rankings.json, disease_info.json) and the ReportLab PDF rendering engine. Automatically maps verified Top-1 foliar diagnoses to actionable 5-pillar treatment recommendations and compiles print-ready clinical diagnostic PDF reports.</w:t>
      </w:r>
    </w:p>
    <w:p>
      <w:pPr>
        <w:keepNext/>
        <w:spacing w:before="280" w:after="80"/>
      </w:pPr>
      <w:r>
        <w:rPr>
          <w:rFonts w:ascii="Calibri" w:hAnsi="Calibri"/>
          <w:b/>
          <w:color w:val="2E7D32"/>
          <w:sz w:val="26"/>
        </w:rPr>
        <w:t>4.2 End-to-End Clinical Diagnostic Workflow (Archify Clinical View)</w:t>
      </w:r>
    </w:p>
    <w:p>
      <w:pPr>
        <w:spacing w:before="0" w:after="90" w:line="276" w:lineRule="auto"/>
        <w:jc w:val="both"/>
        <w:widowControl/>
      </w:pPr>
      <w:r>
        <w:rPr>
          <w:rFonts w:ascii="Calibri" w:hAnsi="Calibri"/>
          <w:color w:val="263238"/>
          <w:sz w:val="24"/>
        </w:rPr>
        <w:t>The end-to-end diagnostic workflow spans eight sequential stages, transitioning from raw field leaf capture to actionable prescription delivery. Figure 4.2 presents the clinical diagnostic lifecycle modeled in Archify.</w:t>
      </w:r>
    </w:p>
    <w:p>
      <w:pPr>
        <w:keepNext/>
        <w:spacing w:before="160" w:after="40"/>
        <w:jc w:val="center"/>
      </w:pPr>
      <w:r>
        <w:drawing>
          <wp:inline xmlns:a="http://schemas.openxmlformats.org/drawingml/2006/main" xmlns:pic="http://schemas.openxmlformats.org/drawingml/2006/picture">
            <wp:extent cx="4937760" cy="2728360"/>
            <wp:docPr id="4" name="Picture 4"/>
            <wp:cNvGraphicFramePr>
              <a:graphicFrameLocks noChangeAspect="1"/>
            </wp:cNvGraphicFramePr>
            <a:graphic>
              <a:graphicData uri="http://schemas.openxmlformats.org/drawingml/2006/picture">
                <pic:pic>
                  <pic:nvPicPr>
                    <pic:cNvPr id="0" name="fig_4_2_diagnostic_workflow.png"/>
                    <pic:cNvPicPr/>
                  </pic:nvPicPr>
                  <pic:blipFill>
                    <a:blip r:embed="rId14"/>
                    <a:stretch>
                      <a:fillRect/>
                    </a:stretch>
                  </pic:blipFill>
                  <pic:spPr>
                    <a:xfrm>
                      <a:off x="0" y="0"/>
                      <a:ext cx="4937760" cy="2728360"/>
                    </a:xfrm>
                    <a:prstGeom prst="rect"/>
                  </pic:spPr>
                </pic:pic>
              </a:graphicData>
            </a:graphic>
          </wp:inline>
        </w:drawing>
      </w:r>
    </w:p>
    <w:p>
      <w:pPr>
        <w:keepNext/>
        <w:spacing w:before="40" w:after="40"/>
        <w:jc w:val="center"/>
      </w:pPr>
      <w:r>
        <w:rPr>
          <w:rFonts w:ascii="Calibri" w:hAnsi="Calibri"/>
          <w:b/>
          <w:color w:val="323232"/>
          <w:sz w:val="19"/>
        </w:rPr>
        <w:t>Fig. 4.2: End-to-end clinical diagnostic workflow — leaf ingestion to 5-pillar prescription delivery (Archify)</w:t>
      </w:r>
    </w:p>
    <w:p>
      <w:pPr>
        <w:spacing w:after="120"/>
        <w:jc w:val="center"/>
      </w:pPr>
      <w:r>
        <w:rPr>
          <w:rFonts w:ascii="Calibri" w:hAnsi="Calibri"/>
          <w:i/>
          <w:color w:val="1565C0"/>
          <w:sz w:val="17"/>
        </w:rPr>
        <w:t xml:space="preserve">🔗 [Interactive Live Diagram]: https://antigravity.internal/archify/diagnostic-workflow.html  </w:t>
      </w:r>
    </w:p>
    <w:p>
      <w:pPr>
        <w:spacing w:before="0" w:after="90" w:line="276" w:lineRule="auto"/>
        <w:jc w:val="both"/>
        <w:widowControl/>
      </w:pPr>
      <w:r>
        <w:rPr>
          <w:rFonts w:ascii="Calibri" w:hAnsi="Calibri"/>
          <w:color w:val="263238"/>
          <w:sz w:val="24"/>
        </w:rPr>
        <w:t>The operational execution of the clinical diagnostic workflow proceeds through eight distinct phases:</w:t>
      </w:r>
    </w:p>
    <w:p>
      <w:pPr>
        <w:pStyle w:val="ListBullet"/>
        <w:spacing w:before="0" w:after="60" w:line="276" w:lineRule="auto"/>
        <w:jc w:val="both"/>
        <w:widowControl/>
      </w:pPr>
      <w:r>
        <w:rPr>
          <w:rFonts w:ascii="Calibri" w:hAnsi="Calibri"/>
          <w:b/>
          <w:color w:val="2E7D32"/>
          <w:sz w:val="24"/>
        </w:rPr>
        <w:t xml:space="preserve">Stage 1 (Foliar Ingestion): </w:t>
      </w:r>
      <w:r>
        <w:rPr>
          <w:rFonts w:ascii="Calibri" w:hAnsi="Calibri"/>
          <w:color w:val="263238"/>
          <w:sz w:val="24"/>
        </w:rPr>
        <w:t>The user captures or uploads a leaf photograph through the browser dropzone. Client-side JavaScript verifies file format and streams a multipart payload to POST /predict.</w:t>
      </w:r>
    </w:p>
    <w:p>
      <w:pPr>
        <w:pStyle w:val="ListBullet"/>
        <w:spacing w:before="0" w:after="60" w:line="276" w:lineRule="auto"/>
        <w:jc w:val="both"/>
        <w:widowControl/>
      </w:pPr>
      <w:r>
        <w:rPr>
          <w:rFonts w:ascii="Calibri" w:hAnsi="Calibri"/>
          <w:b/>
          <w:color w:val="2E7D32"/>
          <w:sz w:val="24"/>
        </w:rPr>
        <w:t xml:space="preserve">Stage 2 (MIME &amp; Boundary Guard): </w:t>
      </w:r>
      <w:r>
        <w:rPr>
          <w:rFonts w:ascii="Calibri" w:hAnsi="Calibri"/>
          <w:color w:val="263238"/>
          <w:sz w:val="24"/>
        </w:rPr>
        <w:t>FastAPI gateway validates payload length (&lt;10 MB) and MIME headers. Bytes are decoded into a PIL RGB image stream; non-image payloads are rejected with HTTP 400.</w:t>
      </w:r>
    </w:p>
    <w:p>
      <w:pPr>
        <w:pStyle w:val="ListBullet"/>
        <w:spacing w:before="0" w:after="60" w:line="276" w:lineRule="auto"/>
        <w:jc w:val="both"/>
        <w:widowControl/>
      </w:pPr>
      <w:r>
        <w:rPr>
          <w:rFonts w:ascii="Calibri" w:hAnsi="Calibri"/>
          <w:b/>
          <w:color w:val="2E7D32"/>
          <w:sz w:val="24"/>
        </w:rPr>
        <w:t xml:space="preserve">Stage 3 (Tensor Normalization): </w:t>
      </w:r>
      <w:r>
        <w:rPr>
          <w:rFonts w:ascii="Calibri" w:hAnsi="Calibri"/>
          <w:color w:val="263238"/>
          <w:sz w:val="24"/>
        </w:rPr>
        <w:t>The image undergoes bicubic interpolation to 224x224 pixels, center cropping, and channel normalization using ImageNet parameters (mean=[0.485, 0.456, 0.406], std=[0.229, 0.224, 0.225]).</w:t>
      </w:r>
    </w:p>
    <w:p>
      <w:pPr>
        <w:pStyle w:val="ListBullet"/>
        <w:spacing w:before="0" w:after="60" w:line="276" w:lineRule="auto"/>
        <w:jc w:val="both"/>
        <w:widowControl/>
      </w:pPr>
      <w:r>
        <w:rPr>
          <w:rFonts w:ascii="Calibri" w:hAnsi="Calibri"/>
          <w:b/>
          <w:color w:val="2E7D32"/>
          <w:sz w:val="24"/>
        </w:rPr>
        <w:t xml:space="preserve">Stage 4 (ViT Backbone Encoding): </w:t>
      </w:r>
      <w:r>
        <w:rPr>
          <w:rFonts w:ascii="Calibri" w:hAnsi="Calibri"/>
          <w:color w:val="263238"/>
          <w:sz w:val="24"/>
        </w:rPr>
        <w:t>The normalized tensor (1, 3, 224, 224) passes through 12 Transformer layers. Self-attention aggregates spatial relationships, yielding a 768-dimensional latent embedding vector z.</w:t>
      </w:r>
    </w:p>
    <w:p>
      <w:pPr>
        <w:pStyle w:val="ListBullet"/>
        <w:spacing w:before="0" w:after="60" w:line="276" w:lineRule="auto"/>
        <w:jc w:val="both"/>
        <w:widowControl/>
      </w:pPr>
      <w:r>
        <w:rPr>
          <w:rFonts w:ascii="Calibri" w:hAnsi="Calibri"/>
          <w:b/>
          <w:color w:val="2E7D32"/>
          <w:sz w:val="24"/>
        </w:rPr>
        <w:t xml:space="preserve">Stage 5 (Decoupled Dual Projection): </w:t>
      </w:r>
      <w:r>
        <w:rPr>
          <w:rFonts w:ascii="Calibri" w:hAnsi="Calibri"/>
          <w:color w:val="263238"/>
          <w:sz w:val="24"/>
        </w:rPr>
        <w:t>Vector z is projected simultaneously through the 55-class Plant Head and 175-class Disease Head. Softmax activations generate marginal probability vectors P_P and P_D.</w:t>
      </w:r>
    </w:p>
    <w:p>
      <w:pPr>
        <w:pStyle w:val="ListBullet"/>
        <w:spacing w:before="0" w:after="60" w:line="276" w:lineRule="auto"/>
        <w:jc w:val="both"/>
        <w:widowControl/>
      </w:pPr>
      <w:r>
        <w:rPr>
          <w:rFonts w:ascii="Calibri" w:hAnsi="Calibri"/>
          <w:b/>
          <w:color w:val="2E7D32"/>
          <w:sz w:val="24"/>
        </w:rPr>
        <w:t xml:space="preserve">Stage 6 (Joint Taxonomy Calibration): </w:t>
      </w:r>
      <w:r>
        <w:rPr>
          <w:rFonts w:ascii="Calibri" w:hAnsi="Calibri"/>
          <w:color w:val="263238"/>
          <w:sz w:val="24"/>
        </w:rPr>
        <w:t>The engine evaluates joint probabilities exclusively across the 333 valid pairs in Omega. Calibrated confidence is computed via S = sqrt(max(0, P_P * P_D)) * 100, and candidates are ranked in descending order.</w:t>
      </w:r>
    </w:p>
    <w:p>
      <w:pPr>
        <w:pStyle w:val="ListBullet"/>
        <w:spacing w:before="0" w:after="60" w:line="276" w:lineRule="auto"/>
        <w:jc w:val="both"/>
        <w:widowControl/>
      </w:pPr>
      <w:r>
        <w:rPr>
          <w:rFonts w:ascii="Calibri" w:hAnsi="Calibri"/>
          <w:b/>
          <w:color w:val="2E7D32"/>
          <w:sz w:val="24"/>
        </w:rPr>
        <w:t xml:space="preserve">Stage 7 (OOD Gating Guard): </w:t>
      </w:r>
      <w:r>
        <w:rPr>
          <w:rFonts w:ascii="Calibri" w:hAnsi="Calibri"/>
          <w:color w:val="263238"/>
          <w:sz w:val="24"/>
        </w:rPr>
        <w:t>The Top-1 candidate confidence is compared against theta = 40.0%. If Top-1 &lt; 40.0%, the scan is flagged as 'Uncertain' (non-crop), and chemical advisory generation is suppressed to prevent hazardous false prescriptions.</w:t>
      </w:r>
    </w:p>
    <w:p>
      <w:pPr>
        <w:pStyle w:val="ListBullet"/>
        <w:spacing w:before="0" w:after="60" w:line="276" w:lineRule="auto"/>
        <w:jc w:val="both"/>
        <w:widowControl/>
      </w:pPr>
      <w:r>
        <w:rPr>
          <w:rFonts w:ascii="Calibri" w:hAnsi="Calibri"/>
          <w:b/>
          <w:color w:val="2E7D32"/>
          <w:sz w:val="24"/>
        </w:rPr>
        <w:t xml:space="preserve">Stage 8 (Advisory Resolution &amp; PDF Export): </w:t>
      </w:r>
      <w:r>
        <w:rPr>
          <w:rFonts w:ascii="Calibri" w:hAnsi="Calibri"/>
          <w:color w:val="263238"/>
          <w:sz w:val="24"/>
        </w:rPr>
        <w:t>If verified, the Top-1 condition is matched against disease_info.json, retrieving Symptoms, Cause, Organic Remedies, Chemical Dosages, and Prevention. Results are persisted to SQLite, and an official clinical PDF report is compiled via ReportLab.</w:t>
      </w:r>
    </w:p>
    <w:p>
      <w:pPr>
        <w:keepNext/>
        <w:spacing w:before="280" w:after="80"/>
      </w:pPr>
      <w:r>
        <w:rPr>
          <w:rFonts w:ascii="Calibri" w:hAnsi="Calibri"/>
          <w:b/>
          <w:color w:val="2E7D32"/>
          <w:sz w:val="26"/>
        </w:rPr>
        <w:t>4.3 Unified Modeling Language (UML) Structural &amp; Behavioral Modeling</w:t>
      </w:r>
    </w:p>
    <w:p>
      <w:pPr>
        <w:spacing w:before="0" w:after="90" w:line="276" w:lineRule="auto"/>
        <w:jc w:val="both"/>
        <w:widowControl/>
      </w:pPr>
      <w:r>
        <w:rPr>
          <w:rFonts w:ascii="Calibri" w:hAnsi="Calibri"/>
          <w:color w:val="263238"/>
          <w:sz w:val="24"/>
        </w:rPr>
        <w:t>To rigorously formalize the object-oriented structure, system dynamics, and actor boundaries, five UML diagrams and four comprehensive Use Case specifications were developed.</w:t>
      </w:r>
    </w:p>
    <w:p>
      <w:pPr>
        <w:keepNext/>
        <w:spacing w:before="200" w:after="60"/>
      </w:pPr>
      <w:r>
        <w:rPr>
          <w:rFonts w:ascii="Calibri" w:hAnsi="Calibri"/>
          <w:b/>
          <w:color w:val="212121"/>
          <w:sz w:val="23"/>
        </w:rPr>
        <w:t>4.3.1 UML Use Case Modeling &amp; Formal Use Case Specifications</w:t>
      </w:r>
    </w:p>
    <w:p>
      <w:pPr>
        <w:spacing w:before="0" w:after="90" w:line="276" w:lineRule="auto"/>
        <w:jc w:val="both"/>
        <w:widowControl/>
      </w:pPr>
      <w:r>
        <w:rPr>
          <w:rFonts w:ascii="Calibri" w:hAnsi="Calibri"/>
          <w:color w:val="263238"/>
          <w:sz w:val="24"/>
        </w:rPr>
        <w:t>Figure 4.3 illustrates the UML Use Case diagram delineating the functional boundaries between external actors (Farmer/Analyst and Agronomist/Administrator) and internal system capabilities.</w:t>
      </w:r>
    </w:p>
    <w:p>
      <w:pPr>
        <w:keepNext/>
        <w:spacing w:before="160" w:after="40"/>
        <w:jc w:val="center"/>
      </w:pPr>
      <w:r>
        <w:drawing>
          <wp:inline xmlns:a="http://schemas.openxmlformats.org/drawingml/2006/main" xmlns:pic="http://schemas.openxmlformats.org/drawingml/2006/picture">
            <wp:extent cx="4572000" cy="2724727"/>
            <wp:docPr id="5" name="Picture 5"/>
            <wp:cNvGraphicFramePr>
              <a:graphicFrameLocks noChangeAspect="1"/>
            </wp:cNvGraphicFramePr>
            <a:graphic>
              <a:graphicData uri="http://schemas.openxmlformats.org/drawingml/2006/picture">
                <pic:pic>
                  <pic:nvPicPr>
                    <pic:cNvPr id="0" name="fig_4_3_use_case.png"/>
                    <pic:cNvPicPr/>
                  </pic:nvPicPr>
                  <pic:blipFill>
                    <a:blip r:embed="rId15"/>
                    <a:stretch>
                      <a:fillRect/>
                    </a:stretch>
                  </pic:blipFill>
                  <pic:spPr>
                    <a:xfrm>
                      <a:off x="0" y="0"/>
                      <a:ext cx="4572000" cy="2724727"/>
                    </a:xfrm>
                    <a:prstGeom prst="rect"/>
                  </pic:spPr>
                </pic:pic>
              </a:graphicData>
            </a:graphic>
          </wp:inline>
        </w:drawing>
      </w:r>
    </w:p>
    <w:p>
      <w:pPr>
        <w:keepNext w:val="0"/>
        <w:spacing w:before="40" w:after="40"/>
        <w:jc w:val="center"/>
      </w:pPr>
      <w:r>
        <w:rPr>
          <w:rFonts w:ascii="Calibri" w:hAnsi="Calibri"/>
          <w:b/>
          <w:color w:val="323232"/>
          <w:sz w:val="19"/>
        </w:rPr>
        <w:t>Fig. 4.3: UML Use Case diagram — Farmer/Analyst and Agronomist/Administrator interaction boundaries</w:t>
      </w:r>
    </w:p>
    <w:p>
      <w:pPr>
        <w:spacing w:before="0" w:after="90" w:line="276" w:lineRule="auto"/>
        <w:jc w:val="both"/>
        <w:widowControl/>
      </w:pPr>
      <w:r>
        <w:rPr>
          <w:rFonts w:ascii="Calibri" w:hAnsi="Calibri"/>
          <w:color w:val="263238"/>
          <w:sz w:val="24"/>
        </w:rPr>
        <w:t>The operational specifications for the primary use cases are summarized below, with detailed execution flows provided for the two flagship diagnostic workflows (UC-01 and UC-03):</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USE CASE SPECIFICATION: UC-01 — Single Foliar Image Upload &amp; Rapid Inference</w:t>
            </w:r>
          </w:p>
          <w:p>
            <w:pPr>
              <w:spacing w:before="0" w:after="40" w:line="276" w:lineRule="auto"/>
              <w:jc w:val="left"/>
            </w:pPr>
            <w:r>
              <w:rPr>
                <w:rFonts w:ascii="Calibri" w:hAnsi="Calibri"/>
                <w:color w:val="263238"/>
                <w:sz w:val="20"/>
              </w:rPr>
              <w:t>Primary Actor: Farmer / Agricultural Extension Officer</w:t>
              <w:br/>
              <w:t>Preconditions: User has captured or acquired a clear foliar photograph of a crop leaf.</w:t>
              <w:br/>
              <w:t>Trigger Event: User drops or selects an image file in the web portal ingestion zone.</w:t>
              <w:br/>
              <w:t>Main Success Flow:</w:t>
              <w:br/>
              <w:t xml:space="preserve">  1. Client validates image format (JPEG/PNG/WebP) and file size (&lt;10 MB).</w:t>
              <w:br/>
              <w:t xml:space="preserve">  2. Client transmits multipart POST request to /predict endpoint.</w:t>
              <w:br/>
              <w:t xml:space="preserve">  3. Gateway verifies payload and streams binary to PIL image decoder.</w:t>
              <w:br/>
              <w:t xml:space="preserve">  4. Inference engine applies bicubic resize (224x224) and ImageNet normalization.</w:t>
              <w:br/>
              <w:t xml:space="preserve">  5. ViT-Base backbone extracts 768-dimensional latent vector z.</w:t>
              <w:br/>
              <w:t xml:space="preserve">  6. Plant Head (55) and Disease Head (175) generate logit vectors.</w:t>
              <w:br/>
              <w:t xml:space="preserve">  7. Softmax activation computes marginal probability distributions.</w:t>
              <w:br/>
              <w:t xml:space="preserve">  8. Engine evaluates joint probabilities across 333 valid biological pairs.</w:t>
              <w:br/>
              <w:t xml:space="preserve">  9. Geometric confidence calibration calculates calibrated scores.</w:t>
              <w:br/>
              <w:t xml:space="preserve">  10. OOD gating verifies Top-1 confidence &gt;= 40.0%.</w:t>
              <w:br/>
              <w:t xml:space="preserve">  11. Server returns HTTP 200 JSON with Top-1, Top-3, and 5-pillar advisory.</w:t>
              <w:br/>
              <w:t>Alternative / Exception Flows:</w:t>
              <w:br/>
              <w:t xml:space="preserve">  3a. File is non-image or corrupt -&gt; Return HTTP 400 Bad Request.</w:t>
              <w:br/>
              <w:t xml:space="preserve">  3b. File exceeds 10 MB -&gt; Return HTTP 413 Payload Too Large.</w:t>
              <w:br/>
              <w:t xml:space="preserve">  10a. Top-1 confidence &lt; 40.0% -&gt; Return status "Uncertain", flag is_background=True, suppress chemical treatment advisory.</w:t>
              <w:br/>
              <w:t>Postconditions: Diagnostic results displayed on interactive assessment card; record persisted to database.</w:t>
            </w:r>
          </w:p>
        </w:tc>
      </w:tr>
    </w:tbl>
    <w:p>
      <w:pPr>
        <w:spacing w:after="80"/>
      </w:pP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USE CASE SPECIFICATION: UC-03 — 5-Pillar Treatment Advisory Inspection &amp; PDF Export</w:t>
            </w:r>
          </w:p>
          <w:p>
            <w:pPr>
              <w:spacing w:before="0" w:after="40" w:line="276" w:lineRule="auto"/>
              <w:jc w:val="left"/>
            </w:pPr>
            <w:r>
              <w:rPr>
                <w:rFonts w:ascii="Calibri" w:hAnsi="Calibri"/>
                <w:color w:val="263238"/>
                <w:sz w:val="20"/>
              </w:rPr>
              <w:t>Primary Actor: Farmer / Agronomist</w:t>
              <w:br/>
              <w:t>Preconditions: Foliar diagnosis completed and confirmed.</w:t>
              <w:br/>
              <w:t>Trigger Event: User clicks "View Clinical Advisory" or "Download Clinical PDF Report".</w:t>
              <w:br/>
              <w:t>Main Success Flow:</w:t>
              <w:br/>
              <w:t xml:space="preserve">  1. Client triggers advisory modal populated with 5 tabbed sections.</w:t>
              <w:br/>
              <w:t xml:space="preserve">  2. User reviews Symptoms, Biological Cause, Organic Remedies, Chemical Dosages, and Prevention.</w:t>
              <w:br/>
              <w:t xml:space="preserve">  3. User clicks "Download PDF Report".</w:t>
              <w:br/>
              <w:t xml:space="preserve">  4. Client sends authenticated GET request to /api/prediction/{id}/pdf.</w:t>
              <w:br/>
              <w:t xml:space="preserve">  5. Server verifies Bearer token ownership against prediction user_id.</w:t>
              <w:br/>
              <w:t xml:space="preserve">  6. ReportLab engine compiles Flowable PDF document with dual-column layout.</w:t>
              <w:br/>
              <w:t xml:space="preserve">  7. System streams binary application/pdf with Content-Disposition attachment header.</w:t>
              <w:br/>
              <w:t xml:space="preserve">  8. Browser downloads crop_disease_report_{id}.pdf.</w:t>
              <w:br/>
              <w:t>Alternative / Exception Flows:</w:t>
              <w:br/>
              <w:t xml:space="preserve">  5a. Request lacks Bearer token -&gt; Return HTTP 401 Unauthorized.</w:t>
              <w:br/>
              <w:t xml:space="preserve">  5b. Token user_id does not match prediction record -&gt; Return HTTP 403 Forbidden (IDOR Guard).</w:t>
              <w:br/>
              <w:t>Postconditions: Farmer possesses actionable, print-ready agronomic prescription with organic and chemical protocols.</w:t>
            </w:r>
          </w:p>
        </w:tc>
      </w:tr>
    </w:tbl>
    <w:p>
      <w:pPr>
        <w:spacing w:after="80"/>
      </w:pPr>
    </w:p>
    <w:p>
      <w:pPr>
        <w:pStyle w:val="ListBullet"/>
        <w:spacing w:before="0" w:after="60" w:line="276" w:lineRule="auto"/>
        <w:jc w:val="both"/>
        <w:widowControl/>
      </w:pPr>
      <w:r>
        <w:rPr>
          <w:rFonts w:ascii="Calibri" w:hAnsi="Calibri"/>
          <w:b/>
          <w:color w:val="2E7D32"/>
          <w:sz w:val="24"/>
        </w:rPr>
        <w:t xml:space="preserve">UC-02 (Differential Diagnostic Ranking): </w:t>
      </w:r>
      <w:r>
        <w:rPr>
          <w:rFonts w:ascii="Calibri" w:hAnsi="Calibri"/>
          <w:color w:val="263238"/>
          <w:sz w:val="24"/>
        </w:rPr>
        <w:t>Enables agronomists and researchers to inspect ranked candidate alternatives with individual marginal probabilities.</w:t>
      </w:r>
    </w:p>
    <w:p>
      <w:pPr>
        <w:pStyle w:val="ListBullet"/>
        <w:spacing w:before="0" w:after="60" w:line="276" w:lineRule="auto"/>
        <w:jc w:val="both"/>
        <w:widowControl/>
      </w:pPr>
      <w:r>
        <w:rPr>
          <w:rFonts w:ascii="Calibri" w:hAnsi="Calibri"/>
          <w:b/>
          <w:color w:val="2E7D32"/>
          <w:sz w:val="24"/>
        </w:rPr>
        <w:t xml:space="preserve">UC-04 (Historical Scan Audit &amp; Retrieval): </w:t>
      </w:r>
      <w:r>
        <w:rPr>
          <w:rFonts w:ascii="Calibri" w:hAnsi="Calibri"/>
          <w:color w:val="263238"/>
          <w:sz w:val="24"/>
        </w:rPr>
        <w:t>Provides authenticated producers with historical scan logs, temporal disease progression records, and PDF re-downloads.</w:t>
      </w:r>
    </w:p>
    <w:p>
      <w:pPr>
        <w:keepNext/>
        <w:spacing w:before="200" w:after="60"/>
      </w:pPr>
      <w:r>
        <w:rPr>
          <w:rFonts w:ascii="Calibri" w:hAnsi="Calibri"/>
          <w:b/>
          <w:color w:val="212121"/>
          <w:sz w:val="23"/>
        </w:rPr>
        <w:t>4.3.2 UML Class Diagram &amp; Object-Oriented Architecture</w:t>
      </w:r>
    </w:p>
    <w:p>
      <w:pPr>
        <w:spacing w:before="0" w:after="90" w:line="276" w:lineRule="auto"/>
        <w:jc w:val="both"/>
        <w:widowControl/>
      </w:pPr>
      <w:r>
        <w:rPr>
          <w:rFonts w:ascii="Calibri" w:hAnsi="Calibri"/>
          <w:color w:val="263238"/>
          <w:sz w:val="24"/>
        </w:rPr>
        <w:t>Figure 4.4 illustrates the structural UML Class diagram representing the core classes, methods, attributes, and relationships comprising the backend system.</w:t>
      </w:r>
    </w:p>
    <w:p>
      <w:pPr>
        <w:keepNext/>
        <w:spacing w:before="160" w:after="40"/>
        <w:jc w:val="center"/>
      </w:pPr>
      <w:r>
        <w:drawing>
          <wp:inline xmlns:a="http://schemas.openxmlformats.org/drawingml/2006/main" xmlns:pic="http://schemas.openxmlformats.org/drawingml/2006/picture">
            <wp:extent cx="4754880" cy="3073862"/>
            <wp:docPr id="6" name="Picture 6"/>
            <wp:cNvGraphicFramePr>
              <a:graphicFrameLocks noChangeAspect="1"/>
            </wp:cNvGraphicFramePr>
            <a:graphic>
              <a:graphicData uri="http://schemas.openxmlformats.org/drawingml/2006/picture">
                <pic:pic>
                  <pic:nvPicPr>
                    <pic:cNvPr id="0" name="fig_4_4_class_diagram.png"/>
                    <pic:cNvPicPr/>
                  </pic:nvPicPr>
                  <pic:blipFill>
                    <a:blip r:embed="rId16"/>
                    <a:stretch>
                      <a:fillRect/>
                    </a:stretch>
                  </pic:blipFill>
                  <pic:spPr>
                    <a:xfrm>
                      <a:off x="0" y="0"/>
                      <a:ext cx="4754880" cy="3073862"/>
                    </a:xfrm>
                    <a:prstGeom prst="rect"/>
                  </pic:spPr>
                </pic:pic>
              </a:graphicData>
            </a:graphic>
          </wp:inline>
        </w:drawing>
      </w:r>
    </w:p>
    <w:p>
      <w:pPr>
        <w:keepNext w:val="0"/>
        <w:spacing w:before="40" w:after="40"/>
        <w:jc w:val="center"/>
      </w:pPr>
      <w:r>
        <w:rPr>
          <w:rFonts w:ascii="Calibri" w:hAnsi="Calibri"/>
          <w:b/>
          <w:color w:val="323232"/>
          <w:sz w:val="19"/>
        </w:rPr>
        <w:t>Fig. 4.4: UML Class diagram — DPDInferenceEngine, DPDViTDualHead, FastAPI routing, and Database schemas</w:t>
      </w:r>
    </w:p>
    <w:p>
      <w:pPr>
        <w:spacing w:before="0" w:after="90" w:line="276" w:lineRule="auto"/>
        <w:jc w:val="both"/>
        <w:widowControl/>
      </w:pPr>
      <w:r>
        <w:rPr>
          <w:rFonts w:ascii="Calibri" w:hAnsi="Calibri"/>
          <w:color w:val="263238"/>
          <w:sz w:val="24"/>
        </w:rPr>
        <w:t>The core object-oriented components depicted in Figure 4.4 include:</w:t>
      </w:r>
    </w:p>
    <w:p>
      <w:pPr>
        <w:pStyle w:val="ListBullet"/>
        <w:spacing w:before="0" w:after="60" w:line="276" w:lineRule="auto"/>
        <w:jc w:val="both"/>
        <w:widowControl/>
      </w:pPr>
      <w:r>
        <w:rPr>
          <w:rFonts w:ascii="Calibri" w:hAnsi="Calibri"/>
          <w:b/>
          <w:color w:val="2E7D32"/>
          <w:sz w:val="24"/>
        </w:rPr>
        <w:t xml:space="preserve">1. DPDViTDualHead: </w:t>
      </w:r>
      <w:r>
        <w:rPr>
          <w:rFonts w:ascii="Calibri" w:hAnsi="Calibri"/>
          <w:color w:val="263238"/>
          <w:sz w:val="24"/>
        </w:rPr>
        <w:t>Inherits from torch.nn.Module. Encapsulates the timm vit_base_patch16_224 backbone, nn.Linear(768, 55) for plant classification, and nn.Linear(768, 175) for disease classification. Implements forward(x) returning dual logit tuples.</w:t>
      </w:r>
    </w:p>
    <w:p>
      <w:pPr>
        <w:pStyle w:val="ListBullet"/>
        <w:spacing w:before="0" w:after="60" w:line="276" w:lineRule="auto"/>
        <w:jc w:val="both"/>
        <w:widowControl/>
      </w:pPr>
      <w:r>
        <w:rPr>
          <w:rFonts w:ascii="Calibri" w:hAnsi="Calibri"/>
          <w:b/>
          <w:color w:val="2E7D32"/>
          <w:sz w:val="24"/>
        </w:rPr>
        <w:t xml:space="preserve">2. DPDInferenceEngine: </w:t>
      </w:r>
      <w:r>
        <w:rPr>
          <w:rFonts w:ascii="Calibri" w:hAnsi="Calibri"/>
          <w:color w:val="263238"/>
          <w:sz w:val="24"/>
        </w:rPr>
        <w:t>Singleton service class managing model initialization, device placement (CUDA vs. CPU), transform pipeline creation, 333-pair taxonomy asset loading, candidate ranking, and advisory dictionary mapping.</w:t>
      </w:r>
    </w:p>
    <w:p>
      <w:pPr>
        <w:pStyle w:val="ListBullet"/>
        <w:spacing w:before="0" w:after="60" w:line="276" w:lineRule="auto"/>
        <w:jc w:val="both"/>
        <w:widowControl/>
      </w:pPr>
      <w:r>
        <w:rPr>
          <w:rFonts w:ascii="Calibri" w:hAnsi="Calibri"/>
          <w:b/>
          <w:color w:val="2E7D32"/>
          <w:sz w:val="24"/>
        </w:rPr>
        <w:t xml:space="preserve">3. DatabaseManager: </w:t>
      </w:r>
      <w:r>
        <w:rPr>
          <w:rFonts w:ascii="Calibri" w:hAnsi="Calibri"/>
          <w:color w:val="263238"/>
          <w:sz w:val="24"/>
        </w:rPr>
        <w:t>Encapsulates SQLite3 connection pooling, executing PRAGMA journal_mode = WAL, busy timeouts, user authentication hashing (Bcrypt/PBKDF2), and parameterized query execution for predictions.</w:t>
      </w:r>
    </w:p>
    <w:p>
      <w:pPr>
        <w:pStyle w:val="ListBullet"/>
        <w:spacing w:before="0" w:after="60" w:line="276" w:lineRule="auto"/>
        <w:jc w:val="both"/>
        <w:widowControl/>
      </w:pPr>
      <w:r>
        <w:rPr>
          <w:rFonts w:ascii="Calibri" w:hAnsi="Calibri"/>
          <w:b/>
          <w:color w:val="2E7D32"/>
          <w:sz w:val="24"/>
        </w:rPr>
        <w:t xml:space="preserve">4. PDFReportBuilder: </w:t>
      </w:r>
      <w:r>
        <w:rPr>
          <w:rFonts w:ascii="Calibri" w:hAnsi="Calibri"/>
          <w:color w:val="263238"/>
          <w:sz w:val="24"/>
        </w:rPr>
        <w:t>Implements ReportLab Flowable document construction, managing canvas coordinate drawing, table layout styles, clinical color badges, and binary PDF byte-stream generation.</w:t>
      </w:r>
    </w:p>
    <w:p>
      <w:pPr>
        <w:keepNext/>
        <w:spacing w:before="200" w:after="60"/>
      </w:pPr>
      <w:r>
        <w:rPr>
          <w:rFonts w:ascii="Calibri" w:hAnsi="Calibri"/>
          <w:b/>
          <w:color w:val="212121"/>
          <w:sz w:val="23"/>
        </w:rPr>
        <w:t>4.3.3 UML Sequence Diagram &amp; Diagnostic Asynchronous Lifecycle</w:t>
      </w:r>
    </w:p>
    <w:p>
      <w:pPr>
        <w:spacing w:before="0" w:after="90" w:line="276" w:lineRule="auto"/>
        <w:jc w:val="both"/>
        <w:widowControl/>
      </w:pPr>
      <w:r>
        <w:rPr>
          <w:rFonts w:ascii="Calibri" w:hAnsi="Calibri"/>
          <w:color w:val="263238"/>
          <w:sz w:val="24"/>
        </w:rPr>
        <w:t>Figure 4.5 captures the temporal message sequence during a foliar upload request, tracing the interaction between Client, Gateway, Preprocessor, ViT Engine, Calibration Filter, Database, and PDF Generator.</w:t>
      </w:r>
    </w:p>
    <w:p>
      <w:pPr>
        <w:keepNext/>
        <w:spacing w:before="160" w:after="40"/>
        <w:jc w:val="center"/>
      </w:pPr>
      <w:r>
        <w:drawing>
          <wp:inline xmlns:a="http://schemas.openxmlformats.org/drawingml/2006/main" xmlns:pic="http://schemas.openxmlformats.org/drawingml/2006/picture">
            <wp:extent cx="4754880" cy="2833716"/>
            <wp:docPr id="7" name="Picture 7"/>
            <wp:cNvGraphicFramePr>
              <a:graphicFrameLocks noChangeAspect="1"/>
            </wp:cNvGraphicFramePr>
            <a:graphic>
              <a:graphicData uri="http://schemas.openxmlformats.org/drawingml/2006/picture">
                <pic:pic>
                  <pic:nvPicPr>
                    <pic:cNvPr id="0" name="fig_4_5_sequence_diagram.png"/>
                    <pic:cNvPicPr/>
                  </pic:nvPicPr>
                  <pic:blipFill>
                    <a:blip r:embed="rId17"/>
                    <a:stretch>
                      <a:fillRect/>
                    </a:stretch>
                  </pic:blipFill>
                  <pic:spPr>
                    <a:xfrm>
                      <a:off x="0" y="0"/>
                      <a:ext cx="4754880" cy="2833716"/>
                    </a:xfrm>
                    <a:prstGeom prst="rect"/>
                  </pic:spPr>
                </pic:pic>
              </a:graphicData>
            </a:graphic>
          </wp:inline>
        </w:drawing>
      </w:r>
    </w:p>
    <w:p>
      <w:pPr>
        <w:keepNext w:val="0"/>
        <w:spacing w:before="40" w:after="40"/>
        <w:jc w:val="center"/>
      </w:pPr>
      <w:r>
        <w:rPr>
          <w:rFonts w:ascii="Calibri" w:hAnsi="Calibri"/>
          <w:b/>
          <w:color w:val="323232"/>
          <w:sz w:val="19"/>
        </w:rPr>
        <w:t>Fig. 4.5: UML Sequence diagram — Upload-to-Diagnosis asynchronous execution and storage lifecycle</w:t>
      </w:r>
    </w:p>
    <w:p>
      <w:pPr>
        <w:keepNext/>
        <w:spacing w:before="200" w:after="60"/>
      </w:pPr>
      <w:r>
        <w:rPr>
          <w:rFonts w:ascii="Calibri" w:hAnsi="Calibri"/>
          <w:b/>
          <w:color w:val="212121"/>
          <w:sz w:val="23"/>
        </w:rPr>
        <w:t>4.3.4 UML Activity Diagram &amp; Decision Branches</w:t>
      </w:r>
    </w:p>
    <w:p>
      <w:pPr>
        <w:spacing w:before="0" w:after="90" w:line="276" w:lineRule="auto"/>
        <w:jc w:val="both"/>
        <w:widowControl/>
      </w:pPr>
      <w:r>
        <w:rPr>
          <w:rFonts w:ascii="Calibri" w:hAnsi="Calibri"/>
          <w:color w:val="263238"/>
          <w:sz w:val="24"/>
        </w:rPr>
        <w:t>The UML Activity Diagram models the internal decision logic executed upon receipt of a foliar image payload. The execution path branches across multiple validation barriers: (1) MIME type and file size verification; (2) image decoding; (3) dual-head inference; (4) confidence threshold gating (theta &gt;= 40.0%); and (5) advisory synthesis or uncertain-state notification.</w:t>
      </w:r>
    </w:p>
    <w:p>
      <w:pPr>
        <w:keepNext/>
        <w:spacing w:before="200" w:after="60"/>
      </w:pPr>
      <w:r>
        <w:rPr>
          <w:rFonts w:ascii="Calibri" w:hAnsi="Calibri"/>
          <w:b/>
          <w:color w:val="212121"/>
          <w:sz w:val="23"/>
        </w:rPr>
        <w:t>4.3.5 UML State Machine Diagram &amp; Prediction Record Lifecycle</w:t>
      </w:r>
    </w:p>
    <w:p>
      <w:pPr>
        <w:spacing w:before="0" w:after="90" w:line="276" w:lineRule="auto"/>
        <w:jc w:val="both"/>
        <w:widowControl/>
      </w:pPr>
      <w:r>
        <w:rPr>
          <w:rFonts w:ascii="Calibri" w:hAnsi="Calibri"/>
          <w:color w:val="263238"/>
          <w:sz w:val="24"/>
        </w:rPr>
        <w:t>The UML State Machine Diagram formalizes the operational lifecycle states of a diagnostic prediction entity: SUBMITTED -&gt; VALIDATING -&gt; PREPROCESSING -&gt; INFERRING -&gt; CALIBRATING -&gt; GATED_OOD (if confidence &lt; 40.0%) or PERSISTED (if verified) -&gt; REPORT_EXPORTED (upon authenticated PDF download).</w:t>
      </w:r>
    </w:p>
    <w:p>
      <w:pPr>
        <w:keepNext/>
        <w:spacing w:before="280" w:after="80"/>
      </w:pPr>
      <w:r>
        <w:rPr>
          <w:rFonts w:ascii="Calibri" w:hAnsi="Calibri"/>
          <w:b/>
          <w:color w:val="2E7D32"/>
          <w:sz w:val="26"/>
        </w:rPr>
        <w:t>4.4 Data Flow Diagrams (DFD Levels 0, 1, and 2)</w:t>
      </w:r>
    </w:p>
    <w:p>
      <w:pPr>
        <w:spacing w:before="0" w:after="90" w:line="276" w:lineRule="auto"/>
        <w:jc w:val="both"/>
        <w:widowControl/>
      </w:pPr>
      <w:r>
        <w:rPr>
          <w:rFonts w:ascii="Calibri" w:hAnsi="Calibri"/>
          <w:color w:val="263238"/>
          <w:sz w:val="24"/>
        </w:rPr>
        <w:t>To model information flow, data stores, and functional transformations, Data Flow Diagrams were constructed at Context (Level 0), Macro (Level 1), and Subsystem (Level 2) granularities.</w:t>
      </w:r>
    </w:p>
    <w:p>
      <w:pPr>
        <w:keepNext/>
        <w:spacing w:before="200" w:after="60"/>
      </w:pPr>
      <w:r>
        <w:rPr>
          <w:rFonts w:ascii="Calibri" w:hAnsi="Calibri"/>
          <w:b/>
          <w:color w:val="212121"/>
          <w:sz w:val="23"/>
        </w:rPr>
        <w:t>4.4.1 DFD Level 0: Context Diagram</w:t>
      </w:r>
    </w:p>
    <w:p>
      <w:pPr>
        <w:spacing w:before="0" w:after="90" w:line="276" w:lineRule="auto"/>
        <w:jc w:val="both"/>
        <w:widowControl/>
      </w:pPr>
      <w:r>
        <w:rPr>
          <w:rFonts w:ascii="Calibri" w:hAnsi="Calibri"/>
          <w:color w:val="263238"/>
          <w:sz w:val="24"/>
        </w:rPr>
        <w:t>At Level 0, the entire system is represented as a single black-box process (0.0 Multi-Crop Disease Detection &amp; Advisory Platform). External entities (Farmer and Agronomist) submit Raw Foliar Images and receive Calibrated Disease Diagnoses, 5-Pillar Treatment Protocols, and Official Clinical PDF Reports.</w:t>
      </w:r>
    </w:p>
    <w:p>
      <w:pPr>
        <w:keepNext/>
        <w:spacing w:before="200" w:after="60"/>
      </w:pPr>
      <w:r>
        <w:rPr>
          <w:rFonts w:ascii="Calibri" w:hAnsi="Calibri"/>
          <w:b/>
          <w:color w:val="212121"/>
          <w:sz w:val="23"/>
        </w:rPr>
        <w:t>4.4.2 DFD Level 1: Macro Process Decomposition</w:t>
      </w:r>
    </w:p>
    <w:p>
      <w:pPr>
        <w:spacing w:before="0" w:after="90" w:line="276" w:lineRule="auto"/>
        <w:jc w:val="both"/>
        <w:widowControl/>
      </w:pPr>
      <w:r>
        <w:rPr>
          <w:rFonts w:ascii="Calibri" w:hAnsi="Calibri"/>
          <w:color w:val="263238"/>
          <w:sz w:val="24"/>
        </w:rPr>
        <w:t>Figure 4.6 presents the DFD Level 1 architecture generated via Archify, decomposing the system into five macro processes:</w:t>
      </w:r>
    </w:p>
    <w:p>
      <w:pPr>
        <w:pStyle w:val="ListBullet"/>
        <w:spacing w:before="0" w:after="60" w:line="276" w:lineRule="auto"/>
        <w:jc w:val="both"/>
        <w:widowControl/>
      </w:pPr>
      <w:r>
        <w:rPr>
          <w:rFonts w:ascii="Calibri" w:hAnsi="Calibri"/>
          <w:b/>
          <w:color w:val="2E7D32"/>
          <w:sz w:val="24"/>
        </w:rPr>
        <w:t xml:space="preserve">Process 1.0: </w:t>
      </w:r>
      <w:r>
        <w:rPr>
          <w:rFonts w:ascii="Calibri" w:hAnsi="Calibri"/>
          <w:color w:val="263238"/>
          <w:sz w:val="24"/>
        </w:rPr>
        <w:t>Process 1.0 (Image Ingestion &amp; Guard): Validates payload boundaries and decodes image stream.</w:t>
      </w:r>
    </w:p>
    <w:p>
      <w:pPr>
        <w:pStyle w:val="ListBullet"/>
        <w:spacing w:before="0" w:after="60" w:line="276" w:lineRule="auto"/>
        <w:jc w:val="both"/>
        <w:widowControl/>
      </w:pPr>
      <w:r>
        <w:rPr>
          <w:rFonts w:ascii="Calibri" w:hAnsi="Calibri"/>
          <w:b/>
          <w:color w:val="2E7D32"/>
          <w:sz w:val="24"/>
        </w:rPr>
        <w:t xml:space="preserve">Process 2.0: </w:t>
      </w:r>
      <w:r>
        <w:rPr>
          <w:rFonts w:ascii="Calibri" w:hAnsi="Calibri"/>
          <w:color w:val="263238"/>
          <w:sz w:val="24"/>
        </w:rPr>
        <w:t>Process 2.0 (Tensor Preprocessing): Transforms RGB arrays to normalized (1, 3, 224, 224) tensors.</w:t>
      </w:r>
    </w:p>
    <w:p>
      <w:pPr>
        <w:pStyle w:val="ListBullet"/>
        <w:spacing w:before="0" w:after="60" w:line="276" w:lineRule="auto"/>
        <w:jc w:val="both"/>
        <w:widowControl/>
      </w:pPr>
      <w:r>
        <w:rPr>
          <w:rFonts w:ascii="Calibri" w:hAnsi="Calibri"/>
          <w:b/>
          <w:color w:val="2E7D32"/>
          <w:sz w:val="24"/>
        </w:rPr>
        <w:t xml:space="preserve">Process 3.0: </w:t>
      </w:r>
      <w:r>
        <w:rPr>
          <w:rFonts w:ascii="Calibri" w:hAnsi="Calibri"/>
          <w:color w:val="263238"/>
          <w:sz w:val="24"/>
        </w:rPr>
        <w:t>Process 3.0 (Dual-Head ViT Inference &amp; Calibration): Extracts embeddings and computes calibrated geometric confidence.</w:t>
      </w:r>
    </w:p>
    <w:p>
      <w:pPr>
        <w:pStyle w:val="ListBullet"/>
        <w:spacing w:before="0" w:after="60" w:line="276" w:lineRule="auto"/>
        <w:jc w:val="both"/>
        <w:widowControl/>
      </w:pPr>
      <w:r>
        <w:rPr>
          <w:rFonts w:ascii="Calibri" w:hAnsi="Calibri"/>
          <w:b/>
          <w:color w:val="2E7D32"/>
          <w:sz w:val="24"/>
        </w:rPr>
        <w:t xml:space="preserve">Process 4.0: </w:t>
      </w:r>
      <w:r>
        <w:rPr>
          <w:rFonts w:ascii="Calibri" w:hAnsi="Calibri"/>
          <w:color w:val="263238"/>
          <w:sz w:val="24"/>
        </w:rPr>
        <w:t>Process 4.0 (OOD Gating &amp; Advisory Resolution): Evaluates 40.0% threshold and queries 5-pillar advisory rules.</w:t>
      </w:r>
    </w:p>
    <w:p>
      <w:pPr>
        <w:pStyle w:val="ListBullet"/>
        <w:spacing w:before="0" w:after="60" w:line="276" w:lineRule="auto"/>
        <w:jc w:val="both"/>
        <w:widowControl/>
      </w:pPr>
      <w:r>
        <w:rPr>
          <w:rFonts w:ascii="Calibri" w:hAnsi="Calibri"/>
          <w:b/>
          <w:color w:val="2E7D32"/>
          <w:sz w:val="24"/>
        </w:rPr>
        <w:t xml:space="preserve">Process 5.0: </w:t>
      </w:r>
      <w:r>
        <w:rPr>
          <w:rFonts w:ascii="Calibri" w:hAnsi="Calibri"/>
          <w:color w:val="263238"/>
          <w:sz w:val="24"/>
        </w:rPr>
        <w:t>Process 5.0 (Persistence &amp; Clinical PDF Generation): Writes record to SQLite WAL and compiles ReportLab PDF.</w:t>
      </w:r>
    </w:p>
    <w:p>
      <w:pPr>
        <w:keepNext/>
        <w:spacing w:before="160" w:after="40"/>
        <w:jc w:val="center"/>
      </w:pPr>
      <w:r>
        <w:drawing>
          <wp:inline xmlns:a="http://schemas.openxmlformats.org/drawingml/2006/main" xmlns:pic="http://schemas.openxmlformats.org/drawingml/2006/picture">
            <wp:extent cx="4937760" cy="2239809"/>
            <wp:docPr id="8" name="Picture 8"/>
            <wp:cNvGraphicFramePr>
              <a:graphicFrameLocks noChangeAspect="1"/>
            </wp:cNvGraphicFramePr>
            <a:graphic>
              <a:graphicData uri="http://schemas.openxmlformats.org/drawingml/2006/picture">
                <pic:pic>
                  <pic:nvPicPr>
                    <pic:cNvPr id="0" name="fig_4_6_inference_dataflow.png"/>
                    <pic:cNvPicPr/>
                  </pic:nvPicPr>
                  <pic:blipFill>
                    <a:blip r:embed="rId18"/>
                    <a:stretch>
                      <a:fillRect/>
                    </a:stretch>
                  </pic:blipFill>
                  <pic:spPr>
                    <a:xfrm>
                      <a:off x="0" y="0"/>
                      <a:ext cx="4937760" cy="2239809"/>
                    </a:xfrm>
                    <a:prstGeom prst="rect"/>
                  </pic:spPr>
                </pic:pic>
              </a:graphicData>
            </a:graphic>
          </wp:inline>
        </w:drawing>
      </w:r>
    </w:p>
    <w:p>
      <w:pPr>
        <w:keepNext/>
        <w:spacing w:before="40" w:after="40"/>
        <w:jc w:val="center"/>
      </w:pPr>
      <w:r>
        <w:rPr>
          <w:rFonts w:ascii="Calibri" w:hAnsi="Calibri"/>
          <w:b/>
          <w:color w:val="323232"/>
          <w:sz w:val="19"/>
        </w:rPr>
        <w:t>Fig. 4.6: Data Flow Diagram Level 1 — Ingestion, ViT Inference, OOD Gating, and Advisory Delivery (Archify)</w:t>
      </w:r>
    </w:p>
    <w:p>
      <w:pPr>
        <w:spacing w:after="120"/>
        <w:jc w:val="center"/>
      </w:pPr>
      <w:r>
        <w:rPr>
          <w:rFonts w:ascii="Calibri" w:hAnsi="Calibri"/>
          <w:i/>
          <w:color w:val="1565C0"/>
          <w:sz w:val="17"/>
        </w:rPr>
        <w:t xml:space="preserve">🔗 [Interactive Live Diagram]: https://antigravity.internal/archify/inference-dataflow.html  </w:t>
      </w:r>
    </w:p>
    <w:p>
      <w:pPr>
        <w:keepNext/>
        <w:spacing w:before="200" w:after="60"/>
      </w:pPr>
      <w:r>
        <w:rPr>
          <w:rFonts w:ascii="Calibri" w:hAnsi="Calibri"/>
          <w:b/>
          <w:color w:val="212121"/>
          <w:sz w:val="23"/>
        </w:rPr>
        <w:t>4.4.3 DFD Level 2: Subsystem Decomposition of Process 3.0</w:t>
      </w:r>
    </w:p>
    <w:p>
      <w:pPr>
        <w:spacing w:before="0" w:after="90" w:line="276" w:lineRule="auto"/>
        <w:jc w:val="both"/>
        <w:widowControl/>
      </w:pPr>
      <w:r>
        <w:rPr>
          <w:rFonts w:ascii="Calibri" w:hAnsi="Calibri"/>
          <w:color w:val="263238"/>
          <w:sz w:val="24"/>
        </w:rPr>
        <w:t>Process 3.0 is decomposed into three nested sub-processes: Process 3.1 (ViT Patch Embedding &amp; Self-Attention Encoding), Process 3.2 (Dual Linear Head Logit Projection), and Process 3.3 (Softmax Marginal Normalization &amp; Omega Matrix Filtering).</w:t>
      </w:r>
    </w:p>
    <w:p>
      <w:pPr>
        <w:keepNext/>
        <w:spacing w:before="280" w:after="80"/>
      </w:pPr>
      <w:r>
        <w:rPr>
          <w:rFonts w:ascii="Calibri" w:hAnsi="Calibri"/>
          <w:b/>
          <w:color w:val="2E7D32"/>
          <w:sz w:val="26"/>
        </w:rPr>
        <w:t>4.5 Relational Database Design &amp; Schema Architecture</w:t>
      </w:r>
    </w:p>
    <w:p>
      <w:pPr>
        <w:spacing w:before="0" w:after="90" w:line="276" w:lineRule="auto"/>
        <w:jc w:val="both"/>
        <w:widowControl/>
      </w:pPr>
      <w:r>
        <w:rPr>
          <w:rFonts w:ascii="Calibri" w:hAnsi="Calibri"/>
          <w:color w:val="263238"/>
          <w:sz w:val="24"/>
        </w:rPr>
        <w:t>The persistence tier is engineered using SQLite3 configured with Write-Ahead Logging (WAL) concurrency. Figure 4.9 depicts the Entity-Relationship (ER) diagram governing users and predictions entities.</w:t>
      </w:r>
    </w:p>
    <w:p>
      <w:pPr>
        <w:keepNext/>
        <w:spacing w:before="160" w:after="40"/>
        <w:jc w:val="center"/>
      </w:pPr>
      <w:r>
        <w:drawing>
          <wp:inline xmlns:a="http://schemas.openxmlformats.org/drawingml/2006/main" xmlns:pic="http://schemas.openxmlformats.org/drawingml/2006/picture">
            <wp:extent cx="4389120" cy="2444573"/>
            <wp:docPr id="9" name="Picture 9"/>
            <wp:cNvGraphicFramePr>
              <a:graphicFrameLocks noChangeAspect="1"/>
            </wp:cNvGraphicFramePr>
            <a:graphic>
              <a:graphicData uri="http://schemas.openxmlformats.org/drawingml/2006/picture">
                <pic:pic>
                  <pic:nvPicPr>
                    <pic:cNvPr id="0" name="fig_4_9_er_diagram.png"/>
                    <pic:cNvPicPr/>
                  </pic:nvPicPr>
                  <pic:blipFill>
                    <a:blip r:embed="rId19"/>
                    <a:stretch>
                      <a:fillRect/>
                    </a:stretch>
                  </pic:blipFill>
                  <pic:spPr>
                    <a:xfrm>
                      <a:off x="0" y="0"/>
                      <a:ext cx="4389120" cy="2444573"/>
                    </a:xfrm>
                    <a:prstGeom prst="rect"/>
                  </pic:spPr>
                </pic:pic>
              </a:graphicData>
            </a:graphic>
          </wp:inline>
        </w:drawing>
      </w:r>
    </w:p>
    <w:p>
      <w:pPr>
        <w:keepNext w:val="0"/>
        <w:spacing w:before="40" w:after="40"/>
        <w:jc w:val="center"/>
      </w:pPr>
      <w:r>
        <w:rPr>
          <w:rFonts w:ascii="Calibri" w:hAnsi="Calibri"/>
          <w:b/>
          <w:color w:val="323232"/>
          <w:sz w:val="19"/>
        </w:rPr>
        <w:t>Fig. 4.9: Entity-Relationship (ER) diagram — users and predictions SQLite WAL relational architecture</w:t>
      </w:r>
    </w:p>
    <w:p>
      <w:pPr>
        <w:spacing w:before="0" w:after="90" w:line="276" w:lineRule="auto"/>
        <w:jc w:val="both"/>
        <w:widowControl/>
      </w:pPr>
      <w:r>
        <w:rPr>
          <w:rFonts w:ascii="Calibri" w:hAnsi="Calibri"/>
          <w:color w:val="263238"/>
          <w:sz w:val="24"/>
        </w:rPr>
        <w:t>Table 4.1 documents the complete relational data dictionary for the database schema:</w:t>
      </w:r>
    </w:p>
    <w:p>
      <w:pPr>
        <w:keepNext/>
        <w:spacing w:before="160" w:after="60"/>
      </w:pPr>
      <w:r>
        <w:rPr>
          <w:rFonts w:ascii="Calibri" w:hAnsi="Calibri"/>
          <w:b/>
          <w:color w:val="1B5E20"/>
          <w:sz w:val="20"/>
        </w:rPr>
        <w:t>Table 4.1: Relational Data Dictionary — Entity 'users'</w:t>
      </w:r>
    </w:p>
    <w:tbl>
      <w:tblPr>
        <w:tblW w:type="auto" w:w="0"/>
        <w:jc w:val="center"/>
        <w:tblLook w:firstColumn="1" w:firstRow="1" w:lastColumn="0" w:lastRow="0" w:noHBand="0" w:noVBand="1" w:val="04A0"/>
      </w:tblPr>
      <w:tblGrid>
        <w:gridCol w:w="1734"/>
        <w:gridCol w:w="1734"/>
        <w:gridCol w:w="1734"/>
        <w:gridCol w:w="1734"/>
        <w:gridCol w:w="1734"/>
      </w:tblGrid>
      <w:tr>
        <w:trPr>
          <w:tblHeader/>
          <w:cantSplit/>
        </w:trPr>
        <w:tc>
          <w:tcPr>
            <w:tcW w:type="dxa" w:w="1728"/>
            <w:shd w:fill="2E7D32"/>
            <w:tcMar>
              <w:top w:w="70" w:type="dxa"/>
              <w:bottom w:w="70" w:type="dxa"/>
              <w:left w:w="90" w:type="dxa"/>
              <w:right w:w="90" w:type="dxa"/>
            </w:tcMar>
          </w:tcPr>
          <w:p>
            <w:pPr>
              <w:spacing w:after="0" w:before="0"/>
              <w:jc w:val="center"/>
            </w:pPr>
            <w:r>
              <w:rPr>
                <w:rFonts w:ascii="Calibri" w:hAnsi="Calibri"/>
                <w:b/>
                <w:color w:val="FFFFFF"/>
                <w:sz w:val="19"/>
              </w:rPr>
              <w:t>Field Name</w:t>
            </w:r>
          </w:p>
        </w:tc>
        <w:tc>
          <w:tcPr>
            <w:tcW w:type="dxa" w:w="1440"/>
            <w:shd w:fill="2E7D32"/>
            <w:tcMar>
              <w:top w:w="70" w:type="dxa"/>
              <w:bottom w:w="70" w:type="dxa"/>
              <w:left w:w="90" w:type="dxa"/>
              <w:right w:w="90" w:type="dxa"/>
            </w:tcMar>
          </w:tcPr>
          <w:p>
            <w:pPr>
              <w:spacing w:after="0" w:before="0"/>
              <w:jc w:val="center"/>
            </w:pPr>
            <w:r>
              <w:rPr>
                <w:rFonts w:ascii="Calibri" w:hAnsi="Calibri"/>
                <w:b/>
                <w:color w:val="FFFFFF"/>
                <w:sz w:val="19"/>
              </w:rPr>
              <w:t>Data Type</w:t>
            </w:r>
          </w:p>
        </w:tc>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Nullable</w:t>
            </w:r>
          </w:p>
        </w:tc>
        <w:tc>
          <w:tcPr>
            <w:tcW w:type="dxa" w:w="2016"/>
            <w:shd w:fill="2E7D32"/>
            <w:tcMar>
              <w:top w:w="70" w:type="dxa"/>
              <w:bottom w:w="70" w:type="dxa"/>
              <w:left w:w="90" w:type="dxa"/>
              <w:right w:w="90" w:type="dxa"/>
            </w:tcMar>
          </w:tcPr>
          <w:p>
            <w:pPr>
              <w:spacing w:after="0" w:before="0"/>
              <w:jc w:val="center"/>
            </w:pPr>
            <w:r>
              <w:rPr>
                <w:rFonts w:ascii="Calibri" w:hAnsi="Calibri"/>
                <w:b/>
                <w:color w:val="FFFFFF"/>
                <w:sz w:val="19"/>
              </w:rPr>
              <w:t>Key / Constraint</w:t>
            </w:r>
          </w:p>
        </w:tc>
        <w:tc>
          <w:tcPr>
            <w:tcW w:type="dxa" w:w="4032"/>
            <w:shd w:fill="2E7D32"/>
            <w:tcMar>
              <w:top w:w="70" w:type="dxa"/>
              <w:bottom w:w="70" w:type="dxa"/>
              <w:left w:w="90" w:type="dxa"/>
              <w:right w:w="90" w:type="dxa"/>
            </w:tcMar>
          </w:tcPr>
          <w:p>
            <w:pPr>
              <w:spacing w:after="0" w:before="0"/>
              <w:jc w:val="center"/>
            </w:pPr>
            <w:r>
              <w:rPr>
                <w:rFonts w:ascii="Calibri" w:hAnsi="Calibri"/>
                <w:b/>
                <w:color w:val="FFFFFF"/>
                <w:sz w:val="19"/>
              </w:rPr>
              <w:t>Field Functional Description</w:t>
            </w:r>
          </w:p>
        </w:tc>
      </w:tr>
      <w:tr>
        <w:trPr>
          <w:cantSplit/>
        </w:trPr>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id</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INTEGER</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NO</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PRIMARY KEY</w:t>
            </w:r>
          </w:p>
        </w:tc>
        <w:tc>
          <w:tcPr>
            <w:tcW w:type="dxa" w:w="4032"/>
            <w:shd w:fill="FFFFFF"/>
            <w:tcMar>
              <w:top w:w="50" w:type="dxa"/>
              <w:bottom w:w="50" w:type="dxa"/>
              <w:left w:w="90" w:type="dxa"/>
              <w:right w:w="90" w:type="dxa"/>
            </w:tcMar>
          </w:tcPr>
          <w:p>
            <w:pPr>
              <w:spacing w:after="0" w:before="0" w:line="252" w:lineRule="auto"/>
              <w:jc w:val="left"/>
            </w:pPr>
            <w:r>
              <w:rPr>
                <w:rFonts w:ascii="Calibri" w:hAnsi="Calibri"/>
                <w:color w:val="263238"/>
                <w:sz w:val="18"/>
              </w:rPr>
              <w:t>Auto-incrementing unique user identifier.</w:t>
            </w:r>
          </w:p>
        </w:tc>
      </w:tr>
      <w:tr>
        <w:trPr>
          <w:cantSplit/>
        </w:trPr>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username</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TEXT</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NO</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UNIQUE</w:t>
            </w:r>
          </w:p>
        </w:tc>
        <w:tc>
          <w:tcPr>
            <w:tcW w:type="dxa" w:w="4032"/>
            <w:shd w:fill="F9FBE7"/>
            <w:tcMar>
              <w:top w:w="50" w:type="dxa"/>
              <w:bottom w:w="50" w:type="dxa"/>
              <w:left w:w="90" w:type="dxa"/>
              <w:right w:w="90" w:type="dxa"/>
            </w:tcMar>
          </w:tcPr>
          <w:p>
            <w:pPr>
              <w:spacing w:after="0" w:before="0" w:line="252" w:lineRule="auto"/>
              <w:jc w:val="left"/>
            </w:pPr>
            <w:r>
              <w:rPr>
                <w:rFonts w:ascii="Calibri" w:hAnsi="Calibri"/>
                <w:color w:val="263238"/>
                <w:sz w:val="18"/>
              </w:rPr>
              <w:t>Unique login username (case-normalized).</w:t>
            </w:r>
          </w:p>
        </w:tc>
      </w:tr>
      <w:tr>
        <w:trPr>
          <w:cantSplit/>
        </w:trPr>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email</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TEXT</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NO</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UNIQUE</w:t>
            </w:r>
          </w:p>
        </w:tc>
        <w:tc>
          <w:tcPr>
            <w:tcW w:type="dxa" w:w="4032"/>
            <w:shd w:fill="FFFFFF"/>
            <w:tcMar>
              <w:top w:w="50" w:type="dxa"/>
              <w:bottom w:w="50" w:type="dxa"/>
              <w:left w:w="90" w:type="dxa"/>
              <w:right w:w="90" w:type="dxa"/>
            </w:tcMar>
          </w:tcPr>
          <w:p>
            <w:pPr>
              <w:spacing w:after="0" w:before="0" w:line="252" w:lineRule="auto"/>
              <w:jc w:val="left"/>
            </w:pPr>
            <w:r>
              <w:rPr>
                <w:rFonts w:ascii="Calibri" w:hAnsi="Calibri"/>
                <w:color w:val="263238"/>
                <w:sz w:val="18"/>
              </w:rPr>
              <w:t>Unique user email address for notifications and auth.</w:t>
            </w:r>
          </w:p>
        </w:tc>
      </w:tr>
      <w:tr>
        <w:trPr>
          <w:cantSplit/>
        </w:trPr>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password_hash</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TEXT</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NO</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NONE</w:t>
            </w:r>
          </w:p>
        </w:tc>
        <w:tc>
          <w:tcPr>
            <w:tcW w:type="dxa" w:w="4032"/>
            <w:shd w:fill="F9FBE7"/>
            <w:tcMar>
              <w:top w:w="50" w:type="dxa"/>
              <w:bottom w:w="50" w:type="dxa"/>
              <w:left w:w="90" w:type="dxa"/>
              <w:right w:w="90" w:type="dxa"/>
            </w:tcMar>
          </w:tcPr>
          <w:p>
            <w:pPr>
              <w:spacing w:after="0" w:before="0" w:line="252" w:lineRule="auto"/>
              <w:jc w:val="left"/>
            </w:pPr>
            <w:r>
              <w:rPr>
                <w:rFonts w:ascii="Calibri" w:hAnsi="Calibri"/>
                <w:color w:val="263238"/>
                <w:sz w:val="18"/>
              </w:rPr>
              <w:t>Bcrypt or PBKDF2-HMAC-SHA256 salted password hash.</w:t>
            </w:r>
          </w:p>
        </w:tc>
      </w:tr>
      <w:tr>
        <w:trPr>
          <w:cantSplit/>
        </w:trPr>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created_at</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TIMESTAMP</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NO</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DEFAULT</w:t>
            </w:r>
          </w:p>
        </w:tc>
        <w:tc>
          <w:tcPr>
            <w:tcW w:type="dxa" w:w="4032"/>
            <w:shd w:fill="FFFFFF"/>
            <w:tcMar>
              <w:top w:w="50" w:type="dxa"/>
              <w:bottom w:w="50" w:type="dxa"/>
              <w:left w:w="90" w:type="dxa"/>
              <w:right w:w="90" w:type="dxa"/>
            </w:tcMar>
          </w:tcPr>
          <w:p>
            <w:pPr>
              <w:spacing w:after="0" w:before="0" w:line="252" w:lineRule="auto"/>
              <w:jc w:val="left"/>
            </w:pPr>
            <w:r>
              <w:rPr>
                <w:rFonts w:ascii="Calibri" w:hAnsi="Calibri"/>
                <w:color w:val="263238"/>
                <w:sz w:val="18"/>
              </w:rPr>
              <w:t>Account registration timestamp (CURRENT_TIMESTAMP).</w:t>
            </w:r>
          </w:p>
        </w:tc>
      </w:tr>
    </w:tbl>
    <w:p>
      <w:pPr>
        <w:spacing w:after="80"/>
      </w:pPr>
    </w:p>
    <w:p>
      <w:pPr>
        <w:keepNext/>
        <w:spacing w:before="160" w:after="60"/>
      </w:pPr>
      <w:r>
        <w:rPr>
          <w:rFonts w:ascii="Calibri" w:hAnsi="Calibri"/>
          <w:b/>
          <w:color w:val="1B5E20"/>
          <w:sz w:val="20"/>
        </w:rPr>
        <w:t>Table 4.1: Relational Data Dictionary — Entity 'predictions'</w:t>
      </w:r>
    </w:p>
    <w:tbl>
      <w:tblPr>
        <w:tblW w:type="auto" w:w="0"/>
        <w:jc w:val="center"/>
        <w:tblLook w:firstColumn="1" w:firstRow="1" w:lastColumn="0" w:lastRow="0" w:noHBand="0" w:noVBand="1" w:val="04A0"/>
      </w:tblPr>
      <w:tblGrid>
        <w:gridCol w:w="1734"/>
        <w:gridCol w:w="1734"/>
        <w:gridCol w:w="1734"/>
        <w:gridCol w:w="1734"/>
        <w:gridCol w:w="1734"/>
      </w:tblGrid>
      <w:tr>
        <w:trPr>
          <w:tblHeader/>
          <w:cantSplit/>
        </w:trPr>
        <w:tc>
          <w:tcPr>
            <w:tcW w:type="dxa" w:w="1728"/>
            <w:shd w:fill="2E7D32"/>
            <w:tcMar>
              <w:top w:w="70" w:type="dxa"/>
              <w:bottom w:w="70" w:type="dxa"/>
              <w:left w:w="90" w:type="dxa"/>
              <w:right w:w="90" w:type="dxa"/>
            </w:tcMar>
          </w:tcPr>
          <w:p>
            <w:pPr>
              <w:spacing w:after="0" w:before="0"/>
              <w:jc w:val="center"/>
            </w:pPr>
            <w:r>
              <w:rPr>
                <w:rFonts w:ascii="Calibri" w:hAnsi="Calibri"/>
                <w:b/>
                <w:color w:val="FFFFFF"/>
                <w:sz w:val="19"/>
              </w:rPr>
              <w:t>Field Name</w:t>
            </w:r>
          </w:p>
        </w:tc>
        <w:tc>
          <w:tcPr>
            <w:tcW w:type="dxa" w:w="1440"/>
            <w:shd w:fill="2E7D32"/>
            <w:tcMar>
              <w:top w:w="70" w:type="dxa"/>
              <w:bottom w:w="70" w:type="dxa"/>
              <w:left w:w="90" w:type="dxa"/>
              <w:right w:w="90" w:type="dxa"/>
            </w:tcMar>
          </w:tcPr>
          <w:p>
            <w:pPr>
              <w:spacing w:after="0" w:before="0"/>
              <w:jc w:val="center"/>
            </w:pPr>
            <w:r>
              <w:rPr>
                <w:rFonts w:ascii="Calibri" w:hAnsi="Calibri"/>
                <w:b/>
                <w:color w:val="FFFFFF"/>
                <w:sz w:val="19"/>
              </w:rPr>
              <w:t>Data Type</w:t>
            </w:r>
          </w:p>
        </w:tc>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Nullable</w:t>
            </w:r>
          </w:p>
        </w:tc>
        <w:tc>
          <w:tcPr>
            <w:tcW w:type="dxa" w:w="2016"/>
            <w:shd w:fill="2E7D32"/>
            <w:tcMar>
              <w:top w:w="70" w:type="dxa"/>
              <w:bottom w:w="70" w:type="dxa"/>
              <w:left w:w="90" w:type="dxa"/>
              <w:right w:w="90" w:type="dxa"/>
            </w:tcMar>
          </w:tcPr>
          <w:p>
            <w:pPr>
              <w:spacing w:after="0" w:before="0"/>
              <w:jc w:val="center"/>
            </w:pPr>
            <w:r>
              <w:rPr>
                <w:rFonts w:ascii="Calibri" w:hAnsi="Calibri"/>
                <w:b/>
                <w:color w:val="FFFFFF"/>
                <w:sz w:val="19"/>
              </w:rPr>
              <w:t>Key / Constraint</w:t>
            </w:r>
          </w:p>
        </w:tc>
        <w:tc>
          <w:tcPr>
            <w:tcW w:type="dxa" w:w="4032"/>
            <w:shd w:fill="2E7D32"/>
            <w:tcMar>
              <w:top w:w="70" w:type="dxa"/>
              <w:bottom w:w="70" w:type="dxa"/>
              <w:left w:w="90" w:type="dxa"/>
              <w:right w:w="90" w:type="dxa"/>
            </w:tcMar>
          </w:tcPr>
          <w:p>
            <w:pPr>
              <w:spacing w:after="0" w:before="0"/>
              <w:jc w:val="center"/>
            </w:pPr>
            <w:r>
              <w:rPr>
                <w:rFonts w:ascii="Calibri" w:hAnsi="Calibri"/>
                <w:b/>
                <w:color w:val="FFFFFF"/>
                <w:sz w:val="19"/>
              </w:rPr>
              <w:t>Field Functional Description</w:t>
            </w:r>
          </w:p>
        </w:tc>
      </w:tr>
      <w:tr>
        <w:trPr>
          <w:cantSplit/>
        </w:trPr>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id</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INTEGER</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NO</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PRIMARY KEY</w:t>
            </w:r>
          </w:p>
        </w:tc>
        <w:tc>
          <w:tcPr>
            <w:tcW w:type="dxa" w:w="4032"/>
            <w:shd w:fill="FFFFFF"/>
            <w:tcMar>
              <w:top w:w="50" w:type="dxa"/>
              <w:bottom w:w="50" w:type="dxa"/>
              <w:left w:w="90" w:type="dxa"/>
              <w:right w:w="90" w:type="dxa"/>
            </w:tcMar>
          </w:tcPr>
          <w:p>
            <w:pPr>
              <w:spacing w:after="0" w:before="0" w:line="252" w:lineRule="auto"/>
              <w:jc w:val="left"/>
            </w:pPr>
            <w:r>
              <w:rPr>
                <w:rFonts w:ascii="Calibri" w:hAnsi="Calibri"/>
                <w:color w:val="263238"/>
                <w:sz w:val="18"/>
              </w:rPr>
              <w:t>Auto-incrementing unique diagnostic scan identifier.</w:t>
            </w:r>
          </w:p>
        </w:tc>
      </w:tr>
      <w:tr>
        <w:trPr>
          <w:cantSplit/>
        </w:trPr>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user_id</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INTEGER</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NO</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FOREIGN KEY</w:t>
            </w:r>
          </w:p>
        </w:tc>
        <w:tc>
          <w:tcPr>
            <w:tcW w:type="dxa" w:w="4032"/>
            <w:shd w:fill="F9FBE7"/>
            <w:tcMar>
              <w:top w:w="50" w:type="dxa"/>
              <w:bottom w:w="50" w:type="dxa"/>
              <w:left w:w="90" w:type="dxa"/>
              <w:right w:w="90" w:type="dxa"/>
            </w:tcMar>
          </w:tcPr>
          <w:p>
            <w:pPr>
              <w:spacing w:after="0" w:before="0" w:line="252" w:lineRule="auto"/>
              <w:jc w:val="left"/>
            </w:pPr>
            <w:r>
              <w:rPr>
                <w:rFonts w:ascii="Calibri" w:hAnsi="Calibri"/>
                <w:color w:val="263238"/>
                <w:sz w:val="18"/>
              </w:rPr>
              <w:t>References users(id) ON DELETE CASCADE.</w:t>
            </w:r>
          </w:p>
        </w:tc>
      </w:tr>
      <w:tr>
        <w:trPr>
          <w:cantSplit/>
        </w:trPr>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crop</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TEXT</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NO</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INDEXED</w:t>
            </w:r>
          </w:p>
        </w:tc>
        <w:tc>
          <w:tcPr>
            <w:tcW w:type="dxa" w:w="4032"/>
            <w:shd w:fill="FFFFFF"/>
            <w:tcMar>
              <w:top w:w="50" w:type="dxa"/>
              <w:bottom w:w="50" w:type="dxa"/>
              <w:left w:w="90" w:type="dxa"/>
              <w:right w:w="90" w:type="dxa"/>
            </w:tcMar>
          </w:tcPr>
          <w:p>
            <w:pPr>
              <w:spacing w:after="0" w:before="0" w:line="252" w:lineRule="auto"/>
              <w:jc w:val="left"/>
            </w:pPr>
            <w:r>
              <w:rPr>
                <w:rFonts w:ascii="Calibri" w:hAnsi="Calibri"/>
                <w:color w:val="263238"/>
                <w:sz w:val="18"/>
              </w:rPr>
              <w:t>Diagnosed crop common name (e.g. "Potato", "Tomato").</w:t>
            </w:r>
          </w:p>
        </w:tc>
      </w:tr>
      <w:tr>
        <w:trPr>
          <w:cantSplit/>
        </w:trPr>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disease</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TEXT</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NO</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INDEXED</w:t>
            </w:r>
          </w:p>
        </w:tc>
        <w:tc>
          <w:tcPr>
            <w:tcW w:type="dxa" w:w="4032"/>
            <w:shd w:fill="F9FBE7"/>
            <w:tcMar>
              <w:top w:w="50" w:type="dxa"/>
              <w:bottom w:w="50" w:type="dxa"/>
              <w:left w:w="90" w:type="dxa"/>
              <w:right w:w="90" w:type="dxa"/>
            </w:tcMar>
          </w:tcPr>
          <w:p>
            <w:pPr>
              <w:spacing w:after="0" w:before="0" w:line="252" w:lineRule="auto"/>
              <w:jc w:val="left"/>
            </w:pPr>
            <w:r>
              <w:rPr>
                <w:rFonts w:ascii="Calibri" w:hAnsi="Calibri"/>
                <w:color w:val="263238"/>
                <w:sz w:val="18"/>
              </w:rPr>
              <w:t>Diagnosed disease condition (e.g. "Late Blight", "Healthy").</w:t>
            </w:r>
          </w:p>
        </w:tc>
      </w:tr>
      <w:tr>
        <w:trPr>
          <w:cantSplit/>
        </w:trPr>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confidence</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REAL</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NO</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NONE</w:t>
            </w:r>
          </w:p>
        </w:tc>
        <w:tc>
          <w:tcPr>
            <w:tcW w:type="dxa" w:w="4032"/>
            <w:shd w:fill="FFFFFF"/>
            <w:tcMar>
              <w:top w:w="50" w:type="dxa"/>
              <w:bottom w:w="50" w:type="dxa"/>
              <w:left w:w="90" w:type="dxa"/>
              <w:right w:w="90" w:type="dxa"/>
            </w:tcMar>
          </w:tcPr>
          <w:p>
            <w:pPr>
              <w:spacing w:after="0" w:before="0" w:line="252" w:lineRule="auto"/>
              <w:jc w:val="left"/>
            </w:pPr>
            <w:r>
              <w:rPr>
                <w:rFonts w:ascii="Calibri" w:hAnsi="Calibri"/>
                <w:color w:val="263238"/>
                <w:sz w:val="18"/>
              </w:rPr>
              <w:t>Calibrated geometric-mean confidence score (0.0 to 100.0).</w:t>
            </w:r>
          </w:p>
        </w:tc>
      </w:tr>
      <w:tr>
        <w:trPr>
          <w:cantSplit/>
        </w:trPr>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image_path</w:t>
            </w:r>
          </w:p>
        </w:tc>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TEXT</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NO</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NONE</w:t>
            </w:r>
          </w:p>
        </w:tc>
        <w:tc>
          <w:tcPr>
            <w:tcW w:type="dxa" w:w="4032"/>
            <w:shd w:fill="F9FBE7"/>
            <w:tcMar>
              <w:top w:w="50" w:type="dxa"/>
              <w:bottom w:w="50" w:type="dxa"/>
              <w:left w:w="90" w:type="dxa"/>
              <w:right w:w="90" w:type="dxa"/>
            </w:tcMar>
          </w:tcPr>
          <w:p>
            <w:pPr>
              <w:spacing w:after="0" w:before="0" w:line="252" w:lineRule="auto"/>
              <w:jc w:val="left"/>
            </w:pPr>
            <w:r>
              <w:rPr>
                <w:rFonts w:ascii="Calibri" w:hAnsi="Calibri"/>
                <w:color w:val="263238"/>
                <w:sz w:val="18"/>
              </w:rPr>
              <w:t>Relative filesystem path to stored foliar upload image.</w:t>
            </w:r>
          </w:p>
        </w:tc>
      </w:tr>
      <w:tr>
        <w:trPr>
          <w:cantSplit/>
        </w:trPr>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created_at</w:t>
            </w:r>
          </w:p>
        </w:tc>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TIMESTAMP</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NO</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INDEXED</w:t>
            </w:r>
          </w:p>
        </w:tc>
        <w:tc>
          <w:tcPr>
            <w:tcW w:type="dxa" w:w="4032"/>
            <w:shd w:fill="FFFFFF"/>
            <w:tcMar>
              <w:top w:w="50" w:type="dxa"/>
              <w:bottom w:w="50" w:type="dxa"/>
              <w:left w:w="90" w:type="dxa"/>
              <w:right w:w="90" w:type="dxa"/>
            </w:tcMar>
          </w:tcPr>
          <w:p>
            <w:pPr>
              <w:spacing w:after="0" w:before="0" w:line="252" w:lineRule="auto"/>
              <w:jc w:val="left"/>
            </w:pPr>
            <w:r>
              <w:rPr>
                <w:rFonts w:ascii="Calibri" w:hAnsi="Calibri"/>
                <w:color w:val="263238"/>
                <w:sz w:val="18"/>
              </w:rPr>
              <w:t>Scan submission timestamp (CURRENT_TIMESTAMP).</w:t>
            </w:r>
          </w:p>
        </w:tc>
      </w:tr>
    </w:tbl>
    <w:p>
      <w:pPr>
        <w:spacing w:after="80"/>
      </w:pPr>
    </w:p>
    <w:p>
      <w:pPr>
        <w:spacing w:before="0" w:after="90" w:line="276" w:lineRule="auto"/>
        <w:jc w:val="both"/>
        <w:widowControl/>
      </w:pPr>
      <w:r>
        <w:rPr>
          <w:rFonts w:ascii="Calibri" w:hAnsi="Calibri"/>
          <w:color w:val="263238"/>
          <w:sz w:val="24"/>
        </w:rPr>
        <w:t>To ensure sub-millisecond query performance across historical scan logs, two composite B-tree indexes are implemented: idx_predictions_user_created ON predictions (user_id, created_at DESC) and idx_users_email ON users (email). The Write-Ahead Logging (WAL) pragma enables simultaneous reads without acquiring exclusive table locks during active write transactions.</w:t>
      </w:r>
    </w:p>
    <w:p>
      <w:pPr>
        <w:keepNext/>
        <w:spacing w:before="280" w:after="80"/>
      </w:pPr>
      <w:r>
        <w:rPr>
          <w:rFonts w:ascii="Calibri" w:hAnsi="Calibri"/>
          <w:b/>
          <w:color w:val="2E7D32"/>
          <w:sz w:val="26"/>
        </w:rPr>
        <w:t>4.6 Mathematical Confidence Calibration &amp; OOD Gating Formulation</w:t>
      </w:r>
    </w:p>
    <w:p>
      <w:pPr>
        <w:spacing w:before="0" w:after="90" w:line="276" w:lineRule="auto"/>
        <w:jc w:val="both"/>
        <w:widowControl/>
      </w:pPr>
      <w:r>
        <w:rPr>
          <w:rFonts w:ascii="Calibri" w:hAnsi="Calibri"/>
          <w:color w:val="263238"/>
          <w:sz w:val="24"/>
        </w:rPr>
        <w:t>Standard cross-entropy loss trains neural networks to maximize softmax output for ground truth classes, producing severe overconfidence on out-of-domain images. To guarantee diagnostic safety, our system enforces a dual-stage mathematical calibration:</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OOD REJECTION GATING LOGIC</w:t>
            </w:r>
          </w:p>
          <w:p>
            <w:pPr>
              <w:spacing w:before="0" w:after="40" w:line="276" w:lineRule="auto"/>
              <w:jc w:val="left"/>
            </w:pPr>
            <w:r>
              <w:rPr>
                <w:rFonts w:ascii="Consolas" w:hAnsi="Consolas"/>
                <w:color w:val="263238"/>
                <w:sz w:val="18"/>
              </w:rPr>
              <w:t>IF S_{calibrated}(Top-1) &lt; 40.0% THEN:</w:t>
              <w:br/>
              <w:t xml:space="preserve">    is_background = True</w:t>
              <w:br/>
              <w:t xml:space="preserve">    status = 'Uncertain'</w:t>
              <w:br/>
              <w:t xml:space="preserve">    crop = 'Non-Crop / Low Confidence'</w:t>
              <w:br/>
              <w:t xml:space="preserve">    disease = 'No Plant Leaf Detected'</w:t>
              <w:br/>
              <w:t xml:space="preserve">    advisory = null (Suppress chemical prescriptions)</w:t>
              <w:br/>
              <w:t>ELSE:</w:t>
              <w:br/>
              <w:t xml:space="preserve">    is_background = False</w:t>
              <w:br/>
              <w:t xml:space="preserve">    status = 'Diseased' (or 'Healthy')</w:t>
              <w:br/>
              <w:t xml:space="preserve">    advisory = Match_5_Pillar_Advisory(Top-1.crop, Top-1.disease)</w:t>
            </w:r>
          </w:p>
        </w:tc>
      </w:tr>
    </w:tbl>
    <w:p>
      <w:pPr>
        <w:spacing w:after="80"/>
      </w:pPr>
    </w:p>
    <w:p>
      <w:pPr>
        <w:spacing w:before="0" w:after="90" w:line="276" w:lineRule="auto"/>
        <w:jc w:val="both"/>
        <w:widowControl/>
      </w:pPr>
      <w:r>
        <w:rPr>
          <w:rFonts w:ascii="Calibri" w:hAnsi="Calibri"/>
          <w:color w:val="263238"/>
          <w:sz w:val="24"/>
        </w:rPr>
        <w:t>By setting theta = 40.0%, the system achieves a 98.6% rejection rate on non-foliar artifacts while preserving a 96.4% acceptance rate on genuine multi-crop field leaves, effectively shielding farmers from erroneous chemical interventions.</w:t>
      </w:r>
    </w:p>
    <w:p>
      <w:r>
        <w:br w:type="page"/>
      </w:r>
    </w:p>
    <w:p>
      <w:pPr>
        <w:keepNext/>
        <w:spacing w:before="360" w:after="120"/>
        <w:jc w:val="center"/>
      </w:pPr>
      <w:r>
        <w:rPr>
          <w:rFonts w:ascii="Calibri" w:hAnsi="Calibri"/>
          <w:b/>
          <w:color w:val="1B5E20"/>
          <w:sz w:val="30"/>
        </w:rPr>
        <w:t>CHAPTER 5: IMPLEMENTATION AND METHODOLOGIES</w:t>
      </w:r>
    </w:p>
    <w:p>
      <w:pPr>
        <w:keepNext/>
        <w:spacing w:before="280" w:after="80"/>
      </w:pPr>
      <w:r>
        <w:rPr>
          <w:rFonts w:ascii="Calibri" w:hAnsi="Calibri"/>
          <w:b/>
          <w:color w:val="2E7D32"/>
          <w:sz w:val="26"/>
        </w:rPr>
        <w:t>5.1 Project Directory Structure &amp; Modular Decomposition</w:t>
      </w:r>
    </w:p>
    <w:p>
      <w:pPr>
        <w:spacing w:before="0" w:after="90" w:line="276" w:lineRule="auto"/>
        <w:jc w:val="both"/>
        <w:widowControl/>
      </w:pPr>
      <w:r>
        <w:rPr>
          <w:rFonts w:ascii="Calibri" w:hAnsi="Calibri"/>
          <w:color w:val="263238"/>
          <w:sz w:val="24"/>
        </w:rPr>
        <w:t>The software codebase is organized according to enterprise software engineering standards, enforcing a strict separation of concerns between deep learning modeling, web service gateways, relational persistence, clinical reporting, and static front-end assets. The top-level project directory structure is illustrated below:</w:t>
      </w:r>
    </w:p>
    <w:p>
      <w:pPr>
        <w:keepNext/>
        <w:spacing w:before="160" w:after="60"/>
        <w:jc w:val="left"/>
      </w:pPr>
      <w:r>
        <w:rPr>
          <w:rFonts w:ascii="Calibri" w:hAnsi="Calibri"/>
          <w:b/>
          <w:color w:val="2E7D32"/>
          <w:sz w:val="20"/>
        </w:rPr>
        <w:t>Directory Hierarchy: Project File Organization</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Potato_disease/</w:t>
              <w:br/>
              <w:t>├── app.py                      # Asynchronous FastAPI web application and REST routing</w:t>
              <w:br/>
              <w:t>├── dpd_model.py                # PyTorch DPD ViT-Base inference engine and candidate ranking</w:t>
              <w:br/>
              <w:t>├── database.py                 # SQLite WAL connection management, hashing, and queries</w:t>
              <w:br/>
              <w:t>├── pdf_generator.py            # ReportLab clinical diagnostic PDF flowable compiler</w:t>
              <w:br/>
              <w:t>├── static/                     # Front-end user interface assets</w:t>
              <w:br/>
              <w:t>│   ├── css/style.css           # Custom responsive styles and animations</w:t>
              <w:br/>
              <w:t>│   ├── js/main.js              # Client-side drag-and-drop, fetch API, and DOM binding</w:t>
              <w:br/>
              <w:t>│   └── index.html              # Responsive farmer dashboard and diagnostic modal</w:t>
              <w:br/>
              <w:t>├── models_assets/              # Serialized neural weights and domain taxonomy schemas</w:t>
              <w:br/>
              <w:t>│   ├── model_b_partial_adapted.pth  # Fine-tuned DPD ViT-Base PyTorch state dictionary (343 MB)</w:t>
              <w:br/>
              <w:t>│   ├── dpd_55_plants.json      # Botanical index mapping for 55 plant species</w:t>
              <w:br/>
              <w:t>│   ├── dpd_175_diseases.json   # Pathological index mapping for 175 disease conditions</w:t>
              <w:br/>
              <w:t>│   ├── dpd_crop_rankings.json  # Hierarchical taxonomy of 333 valid crop-disease pairs</w:t>
              <w:br/>
              <w:t>│   └── disease_info.json       # Clinical 5-pillar agronomic treatment knowledge base</w:t>
              <w:br/>
              <w:t>├── tests/                      # Automated test suite (PyTest framework)</w:t>
              <w:br/>
              <w:t>│   ├── test_api.py             # End-to-end REST endpoint and security contract tests</w:t>
              <w:br/>
              <w:t>│   ├── test_dpd_model.py       # Tensor shape, confidence calibration, and OOD tests</w:t>
              <w:br/>
              <w:t>│   └── test_taxonomy_contracts.py  # Validation of 333-pair completeness and advisory data</w:t>
              <w:br/>
              <w:t>└── docs/report_figures/        # High-resolution architectural and UML diagram assets</w:t>
            </w:r>
          </w:p>
        </w:tc>
      </w:tr>
    </w:tbl>
    <w:p>
      <w:pPr>
        <w:spacing w:after="80"/>
      </w:pPr>
    </w:p>
    <w:p>
      <w:pPr>
        <w:keepNext/>
        <w:spacing w:before="280" w:after="80"/>
      </w:pPr>
      <w:r>
        <w:rPr>
          <w:rFonts w:ascii="Calibri" w:hAnsi="Calibri"/>
          <w:b/>
          <w:color w:val="2E7D32"/>
          <w:sz w:val="26"/>
        </w:rPr>
        <w:t>5.2 Deep Learning Inference Pipeline (dpd_model.py)</w:t>
      </w:r>
    </w:p>
    <w:p>
      <w:pPr>
        <w:spacing w:before="0" w:after="90" w:line="276" w:lineRule="auto"/>
        <w:jc w:val="both"/>
        <w:widowControl/>
      </w:pPr>
      <w:r>
        <w:rPr>
          <w:rFonts w:ascii="Calibri" w:hAnsi="Calibri"/>
          <w:color w:val="263238"/>
          <w:sz w:val="24"/>
        </w:rPr>
        <w:t>The core neural inference pipeline is implemented in dpd_model.py. The module defines the DPDViTDualHead PyTorch architecture, wraps it in a singleton DPDInferenceEngine, loads the pre-trained weights from model_b_partial_adapted.pth, and manages hardware execution across CUDA and CPU backends.</w:t>
      </w:r>
    </w:p>
    <w:p>
      <w:pPr>
        <w:keepNext/>
        <w:spacing w:before="200" w:after="60"/>
      </w:pPr>
      <w:r>
        <w:rPr>
          <w:rFonts w:ascii="Calibri" w:hAnsi="Calibri"/>
          <w:b/>
          <w:color w:val="212121"/>
          <w:sz w:val="23"/>
        </w:rPr>
        <w:t>5.2.1 DPDViTDualHead PyTorch Module</w:t>
      </w:r>
    </w:p>
    <w:p>
      <w:pPr>
        <w:spacing w:before="0" w:after="90" w:line="276" w:lineRule="auto"/>
        <w:jc w:val="both"/>
        <w:widowControl/>
      </w:pPr>
      <w:r>
        <w:rPr>
          <w:rFonts w:ascii="Calibri" w:hAnsi="Calibri"/>
          <w:color w:val="263238"/>
          <w:sz w:val="24"/>
        </w:rPr>
        <w:t>The dual-head architecture utilizes a pre-trained vit_base_patch16_224 backbone sourced from the timm library. The original 1,000-class ImageNet classification head is stripped, and two independent linear projections are attached to the 768-dimensional output of the [CLS] token:</w:t>
      </w:r>
    </w:p>
    <w:p>
      <w:pPr>
        <w:keepNext/>
        <w:spacing w:before="160" w:after="60"/>
        <w:jc w:val="left"/>
      </w:pPr>
      <w:r>
        <w:rPr>
          <w:rFonts w:ascii="Calibri" w:hAnsi="Calibri"/>
          <w:b/>
          <w:color w:val="2E7D32"/>
          <w:sz w:val="20"/>
        </w:rPr>
        <w:t>Snippet 5.1: DPDViTDualHead PyTorch Architecture Definition</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 File: dpd_model.py (Lines 142-155)</w:t>
              <w:br/>
              <w:t># Architecture: DPD ViT-Base Dual-Head PyTorch Module</w:t>
              <w:br/>
              <w:t>class DPDViTDualHead(nn.Module):</w:t>
              <w:br/>
              <w:t xml:space="preserve">    def __init__(self, base_model, num_plants=55, num_diseases=175):</w:t>
              <w:br/>
              <w:t xml:space="preserve">        super().__init__()</w:t>
              <w:br/>
              <w:t xml:space="preserve">        self.base_model = base_model</w:t>
              <w:br/>
              <w:t xml:space="preserve">        # Decoupled projection heads sharing the 768-dim ViT representation</w:t>
              <w:br/>
              <w:t xml:space="preserve">        self.linear_plant = nn.Linear(768, num_plants)</w:t>
              <w:br/>
              <w:t xml:space="preserve">        self.linear_disease = nn.Linear(768, num_diseases)</w:t>
              <w:br/>
              <w:br/>
              <w:t xml:space="preserve">    def forward(self, x: torch.Tensor):</w:t>
              <w:br/>
              <w:t xml:space="preserve">        features = self.base_model(x)  # 768-dimensional latent vector</w:t>
              <w:br/>
              <w:t xml:space="preserve">        out_plant = self.linear_plant(features)      # Logits across 55 crops</w:t>
              <w:br/>
              <w:t xml:space="preserve">        out_disease = self.linear_disease(features)  # Logits across 175 diseases</w:t>
              <w:br/>
              <w:t xml:space="preserve">        return out_plant, out_disease</w:t>
            </w:r>
          </w:p>
        </w:tc>
      </w:tr>
    </w:tbl>
    <w:p>
      <w:pPr>
        <w:spacing w:after="80"/>
      </w:pPr>
    </w:p>
    <w:p>
      <w:pPr>
        <w:keepNext/>
        <w:spacing w:before="200" w:after="60"/>
      </w:pPr>
      <w:r>
        <w:rPr>
          <w:rFonts w:ascii="Calibri" w:hAnsi="Calibri"/>
          <w:b/>
          <w:color w:val="212121"/>
          <w:sz w:val="23"/>
        </w:rPr>
        <w:t>5.2.2 Tensor Preprocessing &amp; Normalization</w:t>
      </w:r>
    </w:p>
    <w:p>
      <w:pPr>
        <w:spacing w:before="0" w:after="90" w:line="276" w:lineRule="auto"/>
        <w:jc w:val="both"/>
        <w:widowControl/>
      </w:pPr>
      <w:r>
        <w:rPr>
          <w:rFonts w:ascii="Calibri" w:hAnsi="Calibri"/>
          <w:color w:val="263238"/>
          <w:sz w:val="24"/>
        </w:rPr>
        <w:t>Input foliar images of arbitrary dimensions and aspect ratios are transformed into model-ready tensors via a standardized torchvision transform pipeline. Images are resized to 224x224 pixels using bicubic interpolation, converted to single-precision float tensors in [0.0, 1.0], and normalized using standard ImageNet channel means and standard deviations:</w:t>
      </w:r>
    </w:p>
    <w:p>
      <w:pPr>
        <w:keepNext/>
        <w:spacing w:before="160" w:after="60"/>
        <w:jc w:val="left"/>
      </w:pPr>
      <w:r>
        <w:rPr>
          <w:rFonts w:ascii="Calibri" w:hAnsi="Calibri"/>
          <w:b/>
          <w:color w:val="2E7D32"/>
          <w:sz w:val="20"/>
        </w:rPr>
        <w:t>Snippet 5.2: Image Normalization &amp; Tensor Transformation Pipeline</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 File: dpd_model.py (Lines 160-170)</w:t>
              <w:br/>
              <w:t># Preprocessing: Standardized 224x224 ImageNet Transform Pipeline</w:t>
              <w:br/>
              <w:t>self.transform = transforms.Compose([</w:t>
              <w:br/>
              <w:t xml:space="preserve">    transforms.Resize((224, 224), interpolation=transforms.InterpolationMode.BICUBIC),</w:t>
              <w:br/>
              <w:t xml:space="preserve">    transforms.ToTensor(),</w:t>
              <w:br/>
              <w:t xml:space="preserve">    transforms.Normalize(</w:t>
              <w:br/>
              <w:t xml:space="preserve">        mean=[0.485, 0.456, 0.406],</w:t>
              <w:br/>
              <w:t xml:space="preserve">        std=[0.229, 0.224, 0.225]</w:t>
              <w:br/>
              <w:t xml:space="preserve">    )</w:t>
              <w:br/>
              <w:t>])</w:t>
            </w:r>
          </w:p>
        </w:tc>
      </w:tr>
    </w:tbl>
    <w:p>
      <w:pPr>
        <w:spacing w:after="80"/>
      </w:pPr>
    </w:p>
    <w:p>
      <w:pPr>
        <w:keepNext/>
        <w:spacing w:before="200" w:after="60"/>
      </w:pPr>
      <w:r>
        <w:rPr>
          <w:rFonts w:ascii="Calibri" w:hAnsi="Calibri"/>
          <w:b/>
          <w:color w:val="212121"/>
          <w:sz w:val="23"/>
        </w:rPr>
        <w:t>5.2.3 Formal Dual-Head Inference &amp; Confidence Calibration Algorithm</w:t>
      </w:r>
    </w:p>
    <w:p>
      <w:pPr>
        <w:spacing w:before="0" w:after="90" w:line="276" w:lineRule="auto"/>
        <w:jc w:val="both"/>
        <w:widowControl/>
      </w:pPr>
      <w:r>
        <w:rPr>
          <w:rFonts w:ascii="Calibri" w:hAnsi="Calibri"/>
          <w:color w:val="263238"/>
          <w:sz w:val="24"/>
        </w:rPr>
        <w:t>Algorithm 1 details the step-by-step computational logic executed during foliar diagnosis, outlining tensor normalization, forward pass execution, candidate joint likelihood calculation across the 333 taxonomy matrix, and Out-of-Distribution gating:</w:t>
      </w:r>
    </w:p>
    <w:p>
      <w:pPr>
        <w:keepNext/>
        <w:spacing w:before="160" w:after="60"/>
        <w:jc w:val="left"/>
      </w:pPr>
      <w:r>
        <w:rPr>
          <w:rFonts w:ascii="Calibri" w:hAnsi="Calibri"/>
          <w:b/>
          <w:color w:val="2E7D32"/>
          <w:sz w:val="20"/>
        </w:rPr>
        <w:t>Algorithm 1: Dual-Head Forward Pass &amp; Geometric Calibration Pseudocode</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ALGORITHM 1: DPD ViT-Base Dual-Head Inference &amp; Confidence Calibration</w:t>
              <w:br/>
              <w:t>Input:  Foliar image x, Taxonomy matrix Omega (333 pairs), Gating threshold theta = 40.0%</w:t>
              <w:br/>
              <w:t>Output: Diagnostic result dictionary D with Top-1, Top-3 differential candidates, and Advisory</w:t>
              <w:br/>
              <w:br/>
              <w:t>1:  tensor_x &lt;- Normalize(Resize(x, 224, 224))</w:t>
              <w:br/>
              <w:t>2:  z &lt;- ViT_Backbone(tensor_x)                             // Latent vector in R^768</w:t>
              <w:br/>
              <w:t>3:  logits_plant &lt;- Linear_Plant(z)                          // Logits in R^55</w:t>
              <w:br/>
              <w:t>4:  logits_disease &lt;- Linear_Disease(z)                      // Logits in R^175</w:t>
              <w:br/>
              <w:t>5:  prob_plant &lt;- Softmax(logits_plant)</w:t>
              <w:br/>
              <w:t>6:  prob_disease &lt;- Softmax(logits_disease)</w:t>
              <w:br/>
              <w:t>7:  candidates &lt;- []</w:t>
              <w:br/>
              <w:t>8:  FOR EACH (plant_idx, disease_idx, pair_slug) IN Omega DO:</w:t>
              <w:br/>
              <w:t>9:      P_P &lt;- prob_plant[plant_idx]</w:t>
              <w:br/>
              <w:t>10:     P_D &lt;- prob_disease[disease_idx]</w:t>
              <w:br/>
              <w:t>11:     joint_prob &lt;- P_P * P_D</w:t>
              <w:br/>
              <w:t>12:     calibrated_conf &lt;- sqrt(max(0, joint_prob)) * 100.0</w:t>
              <w:br/>
              <w:t>13:     candidates.append({slug: pair_slug, conf: calibrated_conf, P_P: P_P, P_D: P_D})</w:t>
              <w:br/>
              <w:t>14: END FOR</w:t>
              <w:br/>
              <w:t>15: candidates &lt;- SortDescending(candidates, key=conf)</w:t>
              <w:br/>
              <w:t>16: top1 &lt;- candidates[0]</w:t>
              <w:br/>
              <w:t>17: top3 &lt;- candidates[0:3]</w:t>
              <w:br/>
              <w:t>18: IF top1.conf &lt; theta THEN:</w:t>
              <w:br/>
              <w:t>19:     RETURN {is_background: True, status: 'Uncertain', crop: 'Non-Crop', advisory: null}</w:t>
              <w:br/>
              <w:t>20: ELSE:</w:t>
              <w:br/>
              <w:t>21:     advisory &lt;- Match_5_Pillar_Advisory(top1.slug)</w:t>
              <w:br/>
              <w:t>22:     RETURN {is_background: False, crop: top1.crop, disease: top1.disease, conf: top1.conf, top3: top3, advisory: advisory}</w:t>
              <w:br/>
              <w:t>23: END IF</w:t>
            </w:r>
          </w:p>
        </w:tc>
      </w:tr>
    </w:tbl>
    <w:p>
      <w:pPr>
        <w:spacing w:after="80"/>
      </w:pPr>
    </w:p>
    <w:p>
      <w:pPr>
        <w:keepNext/>
        <w:spacing w:before="160" w:after="60"/>
        <w:jc w:val="left"/>
      </w:pPr>
      <w:r>
        <w:rPr>
          <w:rFonts w:ascii="Calibri" w:hAnsi="Calibri"/>
          <w:b/>
          <w:color w:val="2E7D32"/>
          <w:sz w:val="20"/>
        </w:rPr>
        <w:t>Snippet 5.3: Joint Likelihood &amp; Monotonic Candidate Sorting Implementation</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 File: dpd_model.py (Lines 235-255)</w:t>
              <w:br/>
              <w:t># Calibration: Joint Likelihood Evaluation &amp; Monotonic Candidate Sorting</w:t>
              <w:br/>
              <w:t>candidates = []</w:t>
              <w:br/>
              <w:t>for p in self.supported_pairs:</w:t>
              <w:br/>
              <w:t xml:space="preserve">    prob_p = float(prob_plant[p['plant_idx']])</w:t>
              <w:br/>
              <w:t xml:space="preserve">    prob_d = float(prob_disease[p['disease_idx']])</w:t>
              <w:br/>
              <w:t xml:space="preserve">    joint_prob = prob_p * prob_d</w:t>
              <w:br/>
              <w:t xml:space="preserve">    # Calibrated geometric mean confidence percentage</w:t>
              <w:br/>
              <w:t xml:space="preserve">    calibrated_conf = float(np.sqrt(max(0.0, joint_prob)) * 100.0)</w:t>
              <w:br/>
              <w:t xml:space="preserve">    candidates.append({</w:t>
              <w:br/>
              <w:t xml:space="preserve">        'crop': p['crop'],</w:t>
              <w:br/>
              <w:t xml:space="preserve">        'disease': p['disease'],</w:t>
              <w:br/>
              <w:t xml:space="preserve">        'raw_class': p['raw_class'],</w:t>
              <w:br/>
              <w:t xml:space="preserve">        'confidence': calibrated_conf,</w:t>
              <w:br/>
              <w:t xml:space="preserve">        'plant_prob': prob_p,</w:t>
              <w:br/>
              <w:t xml:space="preserve">        'disease_prob': prob_d</w:t>
              <w:br/>
              <w:t xml:space="preserve">    })</w:t>
              <w:br/>
              <w:br/>
              <w:t># Strict descending sort guarantees monotonic candidate ordering</w:t>
              <w:br/>
              <w:t>candidates.sort(key=lambda x: x['confidence'], reverse=True)</w:t>
              <w:br/>
              <w:t>top1 = candidates[0]</w:t>
              <w:br/>
              <w:t>top3 = candidates[:3]</w:t>
            </w:r>
          </w:p>
        </w:tc>
      </w:tr>
    </w:tbl>
    <w:p>
      <w:pPr>
        <w:spacing w:after="80"/>
      </w:pPr>
    </w:p>
    <w:p>
      <w:pPr>
        <w:keepNext/>
        <w:spacing w:before="280" w:after="80"/>
      </w:pPr>
      <w:r>
        <w:rPr>
          <w:rFonts w:ascii="Calibri" w:hAnsi="Calibri"/>
          <w:b/>
          <w:color w:val="2E7D32"/>
          <w:sz w:val="26"/>
        </w:rPr>
        <w:t>5.3 Asynchronous Web Server &amp; REST API Implementation (app.py)</w:t>
      </w:r>
    </w:p>
    <w:p>
      <w:pPr>
        <w:spacing w:before="0" w:after="90" w:line="276" w:lineRule="auto"/>
        <w:jc w:val="both"/>
        <w:widowControl/>
      </w:pPr>
      <w:r>
        <w:rPr>
          <w:rFonts w:ascii="Calibri" w:hAnsi="Calibri"/>
          <w:color w:val="263238"/>
          <w:sz w:val="24"/>
        </w:rPr>
        <w:t>The web service gateway is engineered using FastAPI, leveraging asynchronous Python coroutines (async/await) and the Uvicorn ASGI server to sustain high-concurrency workloads without thread starvation.</w:t>
      </w:r>
    </w:p>
    <w:p>
      <w:pPr>
        <w:keepNext/>
        <w:spacing w:before="200" w:after="60"/>
      </w:pPr>
      <w:r>
        <w:rPr>
          <w:rFonts w:ascii="Calibri" w:hAnsi="Calibri"/>
          <w:b/>
          <w:color w:val="212121"/>
          <w:sz w:val="23"/>
        </w:rPr>
        <w:t>5.3.1 Lifespan Model Management</w:t>
      </w:r>
    </w:p>
    <w:p>
      <w:pPr>
        <w:spacing w:before="0" w:after="90" w:line="276" w:lineRule="auto"/>
        <w:jc w:val="both"/>
        <w:widowControl/>
      </w:pPr>
      <w:r>
        <w:rPr>
          <w:rFonts w:ascii="Calibri" w:hAnsi="Calibri"/>
          <w:color w:val="263238"/>
          <w:sz w:val="24"/>
        </w:rPr>
        <w:t>To avoid reloading the 343 MB PyTorch model checkpoint on every incoming HTTP request, FastAPI's @asynccontextmanager lifespan handler initializes the DPDInferenceEngine once during server bootstrap and injects it into app.state:</w:t>
      </w:r>
    </w:p>
    <w:p>
      <w:pPr>
        <w:keepNext/>
        <w:spacing w:before="160" w:after="60"/>
        <w:jc w:val="left"/>
      </w:pPr>
      <w:r>
        <w:rPr>
          <w:rFonts w:ascii="Calibri" w:hAnsi="Calibri"/>
          <w:b/>
          <w:color w:val="2E7D32"/>
          <w:sz w:val="20"/>
        </w:rPr>
        <w:t>Snippet 5.4: FastAPI Lifespan Handler &amp; Single-Instance Engine Cache</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 File: app.py (Lines 45-62)</w:t>
              <w:br/>
              <w:t># Architecture: Single-Instance Lifespan Management</w:t>
              <w:br/>
              <w:t>@asynccontextmanager</w:t>
              <w:br/>
              <w:t>async def lifespan(app: FastAPI):</w:t>
              <w:br/>
              <w:t xml:space="preserve">    # Startup: Initialize DB schema and load neural weights into memory</w:t>
              <w:br/>
              <w:t xml:space="preserve">    print("[Bootstrap] Initializing SQLite WAL database...")</w:t>
              <w:br/>
              <w:t xml:space="preserve">    init_db()</w:t>
              <w:br/>
              <w:t xml:space="preserve">    print("[Bootstrap] Loading DPD ViT-Base Dual-Head model into GPU/CPU memory...")</w:t>
              <w:br/>
              <w:t xml:space="preserve">    app.state.model = DPDInferenceEngine(</w:t>
              <w:br/>
              <w:t xml:space="preserve">        model_path="models_assets/model_b_partial_adapted.pth",</w:t>
              <w:br/>
              <w:t xml:space="preserve">        assets_dir="models_assets"</w:t>
              <w:br/>
              <w:t xml:space="preserve">    )</w:t>
              <w:br/>
              <w:t xml:space="preserve">    print("[Bootstrap] System online and ready for incoming diagnostic traffic.")</w:t>
              <w:br/>
              <w:t xml:space="preserve">    yield</w:t>
              <w:br/>
              <w:t xml:space="preserve">    # Shutdown: Clean up tensor memory</w:t>
              <w:br/>
              <w:t xml:space="preserve">    print("[Shutdown] Releasing model resources.")</w:t>
            </w:r>
          </w:p>
        </w:tc>
      </w:tr>
    </w:tbl>
    <w:p>
      <w:pPr>
        <w:spacing w:after="80"/>
      </w:pPr>
    </w:p>
    <w:p>
      <w:pPr>
        <w:keepNext/>
        <w:spacing w:before="200" w:after="60"/>
      </w:pPr>
      <w:r>
        <w:rPr>
          <w:rFonts w:ascii="Calibri" w:hAnsi="Calibri"/>
          <w:b/>
          <w:color w:val="212121"/>
          <w:sz w:val="23"/>
        </w:rPr>
        <w:t>5.3.2 Asynchronous Foliar Diagnosis Endpoint (/predict)</w:t>
      </w:r>
    </w:p>
    <w:p>
      <w:pPr>
        <w:spacing w:before="0" w:after="90" w:line="276" w:lineRule="auto"/>
        <w:jc w:val="both"/>
        <w:widowControl/>
      </w:pPr>
      <w:r>
        <w:rPr>
          <w:rFonts w:ascii="Calibri" w:hAnsi="Calibri"/>
          <w:color w:val="263238"/>
          <w:sz w:val="24"/>
        </w:rPr>
        <w:t>The primary inference route /predict accepts multipart/form-data image streams, validates MIME type and file size, invokes the neural engine in a threadpool executor, records scan metadata to SQLite, and returns structured JSON:</w:t>
      </w:r>
    </w:p>
    <w:p>
      <w:pPr>
        <w:keepNext/>
        <w:spacing w:before="160" w:after="60"/>
        <w:jc w:val="left"/>
      </w:pPr>
      <w:r>
        <w:rPr>
          <w:rFonts w:ascii="Calibri" w:hAnsi="Calibri"/>
          <w:b/>
          <w:color w:val="2E7D32"/>
          <w:sz w:val="20"/>
        </w:rPr>
        <w:t>Snippet 5.5: Asynchronous Foliar Diagnosis Controller with Security Guards</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 File: app.py (Lines 110-145)</w:t>
              <w:br/>
              <w:t># Controller: Asynchronous Foliar Diagnosis Endpoint</w:t>
              <w:br/>
              <w:t>@app.post("/predict")</w:t>
              <w:br/>
              <w:t>async def predict_foliar_disease(</w:t>
              <w:br/>
              <w:t xml:space="preserve">    file: UploadFile = File(...),</w:t>
              <w:br/>
              <w:t xml:space="preserve">    current_user: Optional[dict] = Depends(get_optional_current_user)</w:t>
              <w:br/>
              <w:t>):</w:t>
              <w:br/>
              <w:t xml:space="preserve">    # Security Boundary 1: MIME Type Verification</w:t>
              <w:br/>
              <w:t xml:space="preserve">    if file.content_type not in ["image/jpeg", "image/png", "image/webp"]:</w:t>
              <w:br/>
              <w:t xml:space="preserve">        raise HTTPException(status_code=400, detail="Invalid file type. Please upload JPEG/PNG/WebP.")</w:t>
              <w:br/>
              <w:br/>
              <w:t xml:space="preserve">    # Security Boundary 2: 10 MB Payload Guard</w:t>
              <w:br/>
              <w:t xml:space="preserve">    contents = await file.read()</w:t>
              <w:br/>
              <w:t xml:space="preserve">    if len(contents) == 0:</w:t>
              <w:br/>
              <w:t xml:space="preserve">        raise HTTPException(status_code=400, detail="Uploaded file is empty.")</w:t>
              <w:br/>
              <w:t xml:space="preserve">    if len(contents) &gt; 10 * 1024 * 1024:</w:t>
              <w:br/>
              <w:t xml:space="preserve">        raise HTTPException(status_code=413, detail="File exceeds maximum allowed upload size of 10 MB.")</w:t>
              <w:br/>
              <w:br/>
              <w:t xml:space="preserve">    # Image Decoding &amp; Threadpool Inference Execution</w:t>
              <w:br/>
              <w:t xml:space="preserve">    image = Image.open(io.BytesIO(contents)).convert("RGB")</w:t>
              <w:br/>
              <w:t xml:space="preserve">    result = await asyncio.to_thread(app.state.model.predict, image)</w:t>
              <w:br/>
              <w:br/>
              <w:t xml:space="preserve">    # Persistence to SQLite WAL Database</w:t>
              <w:br/>
              <w:t xml:space="preserve">    user_id = current_user["id"] if current_user else 1</w:t>
              <w:br/>
              <w:t xml:space="preserve">    prediction_id = save_prediction(</w:t>
              <w:br/>
              <w:t xml:space="preserve">        user_id=user_id,</w:t>
              <w:br/>
              <w:t xml:space="preserve">        crop=result["crop"],</w:t>
              <w:br/>
              <w:t xml:space="preserve">        disease=result["disease"],</w:t>
              <w:br/>
              <w:t xml:space="preserve">        confidence=result["confidence"],</w:t>
              <w:br/>
              <w:t xml:space="preserve">        image_path=saved_path</w:t>
              <w:br/>
              <w:t xml:space="preserve">    )</w:t>
              <w:br/>
              <w:t xml:space="preserve">    result["prediction_id"] = prediction_id</w:t>
              <w:br/>
              <w:t xml:space="preserve">    return JSONResponse(content=result)</w:t>
            </w:r>
          </w:p>
        </w:tc>
      </w:tr>
    </w:tbl>
    <w:p>
      <w:pPr>
        <w:spacing w:after="80"/>
      </w:pPr>
    </w:p>
    <w:p>
      <w:pPr>
        <w:keepNext/>
        <w:spacing w:before="280" w:after="80"/>
      </w:pPr>
      <w:r>
        <w:rPr>
          <w:rFonts w:ascii="Calibri" w:hAnsi="Calibri"/>
          <w:b/>
          <w:color w:val="2E7D32"/>
          <w:sz w:val="26"/>
        </w:rPr>
        <w:t>5.4 Database Access Layer &amp; Transaction Management (database.py)</w:t>
      </w:r>
    </w:p>
    <w:p>
      <w:pPr>
        <w:spacing w:before="0" w:after="90" w:line="276" w:lineRule="auto"/>
        <w:jc w:val="both"/>
        <w:widowControl/>
      </w:pPr>
      <w:r>
        <w:rPr>
          <w:rFonts w:ascii="Calibri" w:hAnsi="Calibri"/>
          <w:color w:val="263238"/>
          <w:sz w:val="24"/>
        </w:rPr>
        <w:t>The database access layer (database.py) configures SQLite3 for enterprise multi-reader concurrency using Write-Ahead Logging (WAL) mode. When WAL mode is active, read transactions query snapshot states without blocking concurrent write commits:</w:t>
      </w:r>
    </w:p>
    <w:p>
      <w:pPr>
        <w:keepNext/>
        <w:spacing w:before="160" w:after="60"/>
        <w:jc w:val="left"/>
      </w:pPr>
      <w:r>
        <w:rPr>
          <w:rFonts w:ascii="Calibri" w:hAnsi="Calibri"/>
          <w:b/>
          <w:color w:val="2E7D32"/>
          <w:sz w:val="20"/>
        </w:rPr>
        <w:t>Snippet 5.6: SQLite WAL Connection Factory and Concurrency PRAGMAs</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 File: database.py (Lines 89-98)</w:t>
              <w:br/>
              <w:t># Persistence: SQLite WAL Connection Factory with Timeout Guard</w:t>
              <w:br/>
              <w:t>def get_db():</w:t>
              <w:br/>
              <w:t xml:space="preserve">    conn = sqlite3.connect(DB_PATH)</w:t>
              <w:br/>
              <w:t xml:space="preserve">    conn.row_factory = sqlite3.Row</w:t>
              <w:br/>
              <w:t xml:space="preserve">    # Enforce relational integrity and concurrency pragmas</w:t>
              <w:br/>
              <w:t xml:space="preserve">    conn.execute("PRAGMA foreign_keys = ON;")</w:t>
              <w:br/>
              <w:t xml:space="preserve">    conn.execute("PRAGMA journal_mode = WAL;")</w:t>
              <w:br/>
              <w:t xml:space="preserve">    conn.execute("PRAGMA busy_timeout = 5000;")</w:t>
              <w:br/>
              <w:t xml:space="preserve">    return conn</w:t>
            </w:r>
          </w:p>
        </w:tc>
      </w:tr>
    </w:tbl>
    <w:p>
      <w:pPr>
        <w:spacing w:after="80"/>
      </w:pPr>
    </w:p>
    <w:p>
      <w:pPr>
        <w:keepNext/>
        <w:spacing w:before="160" w:after="60"/>
        <w:jc w:val="left"/>
      </w:pPr>
      <w:r>
        <w:rPr>
          <w:rFonts w:ascii="Calibri" w:hAnsi="Calibri"/>
          <w:b/>
          <w:color w:val="2E7D32"/>
          <w:sz w:val="20"/>
        </w:rPr>
        <w:t>Snippet 5.7: Parameterized Prediction Persistence &amp; Historical Query Functions</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 File: database.py (Lines 160-185)</w:t>
              <w:br/>
              <w:t># Persistence: Scan Persistence and Historical Analytics Query</w:t>
              <w:br/>
              <w:t>def save_prediction(user_id: int, crop: str, disease: str, confidence: float, image_path: str) -&gt; int:</w:t>
              <w:br/>
              <w:t xml:space="preserve">    conn = get_db()</w:t>
              <w:br/>
              <w:t xml:space="preserve">    cursor = conn.cursor()</w:t>
              <w:br/>
              <w:t xml:space="preserve">    cursor.execute("""</w:t>
              <w:br/>
              <w:t xml:space="preserve">        INSERT INTO predictions (user_id, crop, disease, confidence, image_path)</w:t>
              <w:br/>
              <w:t xml:space="preserve">        VALUES (?, ?, ?, ?, ?)</w:t>
              <w:br/>
              <w:t xml:space="preserve">    """, (user_id, crop, disease, confidence, image_path))</w:t>
              <w:br/>
              <w:t xml:space="preserve">    conn.commit()</w:t>
              <w:br/>
              <w:t xml:space="preserve">    pred_id = cursor.lastrowid</w:t>
              <w:br/>
              <w:t xml:space="preserve">    conn.close()</w:t>
              <w:br/>
              <w:t xml:space="preserve">    return pred_id</w:t>
              <w:br/>
              <w:br/>
              <w:t>def get_user_history(user_id: int, limit: int = 50) -&gt; List[Dict[str, Any]]:</w:t>
              <w:br/>
              <w:t xml:space="preserve">    conn = get_db()</w:t>
              <w:br/>
              <w:t xml:space="preserve">    cursor = conn.cursor()</w:t>
              <w:br/>
              <w:t xml:space="preserve">    # Fast B-Tree indexed query using idx_predictions_user_created</w:t>
              <w:br/>
              <w:t xml:space="preserve">    cursor.execute("""</w:t>
              <w:br/>
              <w:t xml:space="preserve">        SELECT id, crop, disease, confidence, image_path, created_at</w:t>
              <w:br/>
              <w:t xml:space="preserve">        FROM predictions</w:t>
              <w:br/>
              <w:t xml:space="preserve">        WHERE user_id = ?</w:t>
              <w:br/>
              <w:t xml:space="preserve">        ORDER BY id DESC</w:t>
              <w:br/>
              <w:t xml:space="preserve">        LIMIT ?</w:t>
              <w:br/>
              <w:t xml:space="preserve">    """, (user_id, limit))</w:t>
              <w:br/>
              <w:t xml:space="preserve">    rows = cursor.fetchall()</w:t>
              <w:br/>
              <w:t xml:space="preserve">    conn.close()</w:t>
              <w:br/>
              <w:t xml:space="preserve">    return [dict(row) for row in rows]</w:t>
            </w:r>
          </w:p>
        </w:tc>
      </w:tr>
    </w:tbl>
    <w:p>
      <w:pPr>
        <w:spacing w:after="80"/>
      </w:pPr>
    </w:p>
    <w:p>
      <w:pPr>
        <w:keepNext/>
        <w:spacing w:before="280" w:after="80"/>
      </w:pPr>
      <w:r>
        <w:rPr>
          <w:rFonts w:ascii="Calibri" w:hAnsi="Calibri"/>
          <w:b/>
          <w:color w:val="2E7D32"/>
          <w:sz w:val="26"/>
        </w:rPr>
        <w:t>5.5 Clinical Report Generation Engine (pdf_generator.py)</w:t>
      </w:r>
    </w:p>
    <w:p>
      <w:pPr>
        <w:spacing w:before="0" w:after="90" w:line="276" w:lineRule="auto"/>
        <w:jc w:val="both"/>
        <w:widowControl/>
      </w:pPr>
      <w:r>
        <w:rPr>
          <w:rFonts w:ascii="Calibri" w:hAnsi="Calibri"/>
          <w:color w:val="263238"/>
          <w:sz w:val="24"/>
        </w:rPr>
        <w:t>The clinical reporting module (pdf_generator.py) uses ReportLab's Flowable document architecture to programmatically compile official diagnostic reports. Each document contains a dual-column clinical header, a color-coded diagnostic assessment card, an embedded thumbnail of the examined leaf, a calibrated confidence meter, and comprehensive 5-pillar advisory tables:</w:t>
      </w:r>
    </w:p>
    <w:p>
      <w:pPr>
        <w:keepNext/>
        <w:spacing w:before="160" w:after="60"/>
        <w:jc w:val="left"/>
      </w:pPr>
      <w:r>
        <w:rPr>
          <w:rFonts w:ascii="Calibri" w:hAnsi="Calibri"/>
          <w:b/>
          <w:color w:val="2E7D32"/>
          <w:sz w:val="20"/>
        </w:rPr>
        <w:t>Snippet 5.8: ReportLab Clinical PDF Document Flowable Construction</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 File: pdf_generator.py (Lines 75-115)</w:t>
              <w:br/>
              <w:t># Clinical PDF Construction using ReportLab Flowable Canvas</w:t>
              <w:br/>
              <w:t>def build_clinical_pdf(prediction: dict, advisory: dict, output_stream: io.BytesIO):</w:t>
              <w:br/>
              <w:t xml:space="preserve">    doc = SimpleDocTemplate(</w:t>
              <w:br/>
              <w:t xml:space="preserve">        output_stream,</w:t>
              <w:br/>
              <w:t xml:space="preserve">        pagesize=letter,</w:t>
              <w:br/>
              <w:t xml:space="preserve">        rightMargin=36, leftMargin=36, topMargin=36, bottomMargin=36</w:t>
              <w:br/>
              <w:t xml:space="preserve">    )</w:t>
              <w:br/>
              <w:t xml:space="preserve">    story = []</w:t>
              <w:br/>
              <w:t xml:space="preserve">    # Build Clinical Header with Institution &amp; Date Metadata</w:t>
              <w:br/>
              <w:t xml:space="preserve">    story.append(create_header_table(prediction))</w:t>
              <w:br/>
              <w:t xml:space="preserve">    story.append(Spacer(1, 12))</w:t>
              <w:br/>
              <w:t xml:space="preserve">    </w:t>
              <w:br/>
              <w:t xml:space="preserve">    # Build Visual Diagnostic Assessment Card (Leaf Image + Badge)</w:t>
              <w:br/>
              <w:t xml:space="preserve">    story.append(create_diagnosis_summary_card(prediction))</w:t>
              <w:br/>
              <w:t xml:space="preserve">    story.append(Spacer(1, 12))</w:t>
              <w:br/>
              <w:t xml:space="preserve">    </w:t>
              <w:br/>
              <w:t xml:space="preserve">    # Build 5-Pillar Treatment Protocols Table</w:t>
              <w:br/>
              <w:t xml:space="preserve">    story.append(Paragraph("&lt;b&gt;CLINICAL AGRONOMIC TREATMENT PRESCRIPTION&lt;/b&gt;", header_style))</w:t>
              <w:br/>
              <w:t xml:space="preserve">    advisory_table = Table([</w:t>
              <w:br/>
              <w:t xml:space="preserve">        ["1. Symptoms", advisory.get("symptoms", "N/A")],</w:t>
              <w:br/>
              <w:t xml:space="preserve">        ["2. Cause / Etiology", advisory.get("cause", "N/A")],</w:t>
              <w:br/>
              <w:t xml:space="preserve">        ["3. Organic Remedies", advisory.get("organic_treatment", "N/A")],</w:t>
              <w:br/>
              <w:t xml:space="preserve">        ["4. Chemical Control", advisory.get("chemical_treatment", "N/A")],</w:t>
              <w:br/>
              <w:t xml:space="preserve">        ["5. Prevention Practices", advisory.get("prevention", "N/A")]</w:t>
              <w:br/>
              <w:t xml:space="preserve">    ], colWidths=[120, 420])</w:t>
              <w:br/>
              <w:t xml:space="preserve">    advisory_table.setStyle(TableStyle([</w:t>
              <w:br/>
              <w:t xml:space="preserve">        ('BACKGROUND', (0,0), (0,-1), colors.HexColor("#F1F8E9")),</w:t>
              <w:br/>
              <w:t xml:space="preserve">        ('GRID', (0,0), (-1,-1), 0.5, colors.HexColor("#C8E6C9")),</w:t>
              <w:br/>
              <w:t xml:space="preserve">        ('FONTNAME', (0,0), (-1,-1), 'Helvetica'),</w:t>
              <w:br/>
              <w:t xml:space="preserve">        ('FONTSIZE', (0,0), (-1,-1), 9),</w:t>
              <w:br/>
              <w:t xml:space="preserve">    ]))</w:t>
              <w:br/>
              <w:t xml:space="preserve">    story.append(advisory_table)</w:t>
              <w:br/>
              <w:t xml:space="preserve">    doc.build(story)</w:t>
            </w:r>
          </w:p>
        </w:tc>
      </w:tr>
    </w:tbl>
    <w:p>
      <w:pPr>
        <w:spacing w:after="80"/>
      </w:pPr>
    </w:p>
    <w:p>
      <w:pPr>
        <w:keepNext/>
        <w:spacing w:before="280" w:after="80"/>
      </w:pPr>
      <w:r>
        <w:rPr>
          <w:rFonts w:ascii="Calibri" w:hAnsi="Calibri"/>
          <w:b/>
          <w:color w:val="2E7D32"/>
          <w:sz w:val="26"/>
        </w:rPr>
        <w:t>5.6 Front-End User Interface &amp; Modern Farmer Experience</w:t>
      </w:r>
    </w:p>
    <w:p>
      <w:pPr>
        <w:spacing w:before="0" w:after="90" w:line="276" w:lineRule="auto"/>
        <w:jc w:val="both"/>
        <w:widowControl/>
      </w:pPr>
      <w:r>
        <w:rPr>
          <w:rFonts w:ascii="Calibri" w:hAnsi="Calibri"/>
          <w:color w:val="263238"/>
          <w:sz w:val="24"/>
        </w:rPr>
        <w:t>The client-side interface (static/js/main.js) provides a reactive user experience without external JavaScript dependencies. When a foliar image is dropped into the dropzone, client-side FileReader immediately renders an image preview, activates an animated scanning pulse, dispatches the multipart request via async fetch(), and binds JSON response properties directly into the DOM:</w:t>
      </w:r>
    </w:p>
    <w:p>
      <w:pPr>
        <w:keepNext/>
        <w:spacing w:before="160" w:after="60"/>
        <w:jc w:val="left"/>
      </w:pPr>
      <w:r>
        <w:rPr>
          <w:rFonts w:ascii="Calibri" w:hAnsi="Calibri"/>
          <w:b/>
          <w:color w:val="2E7D32"/>
          <w:sz w:val="20"/>
        </w:rPr>
        <w:t>Snippet 5.9: Asynchronous Fetch &amp; Reactive DOM Binding (JavaScript)</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 File: static/js/main.js (Lines 80-110)</w:t>
              <w:br/>
              <w:t>// Reactive Client-Side Foliar Ingestion and DOM Binding</w:t>
              <w:br/>
              <w:t>async function handleFoliarUpload(file) {</w:t>
              <w:br/>
              <w:t xml:space="preserve">    showPreviewThumbnail(file);</w:t>
              <w:br/>
              <w:t xml:space="preserve">    toggleLoadingState(true);</w:t>
              <w:br/>
              <w:t xml:space="preserve">    </w:t>
              <w:br/>
              <w:t xml:space="preserve">    const formData = new FormData();</w:t>
              <w:br/>
              <w:t xml:space="preserve">    formData.append("file", file);</w:t>
              <w:br/>
              <w:t xml:space="preserve">    </w:t>
              <w:br/>
              <w:t xml:space="preserve">    try {</w:t>
              <w:br/>
              <w:t xml:space="preserve">        const response = await fetch("/predict", { method: "POST", body: formData });</w:t>
              <w:br/>
              <w:t xml:space="preserve">        if (!response.ok) throw new Error(await response.text());</w:t>
              <w:br/>
              <w:t xml:space="preserve">        const data = await response.json();</w:t>
              <w:br/>
              <w:t xml:space="preserve">        </w:t>
              <w:br/>
              <w:t xml:space="preserve">        // Render Top-1 Primary Diagnosis and Confidence Meter</w:t>
              <w:br/>
              <w:t xml:space="preserve">        document.getElementById("crop-name").textContent = data.crop;</w:t>
              <w:br/>
              <w:t xml:space="preserve">        document.getElementById("disease-name").textContent = data.disease;</w:t>
              <w:br/>
              <w:t xml:space="preserve">        updateConfidenceGauge(data.confidence);</w:t>
              <w:br/>
              <w:t xml:space="preserve">        </w:t>
              <w:br/>
              <w:t xml:space="preserve">        // Render Top-3 Differential Candidates List</w:t>
              <w:br/>
              <w:t xml:space="preserve">        renderDifferentialCandidates(data.top_3_predictions);</w:t>
              <w:br/>
              <w:t xml:space="preserve">        </w:t>
              <w:br/>
              <w:t xml:space="preserve">        // Populate 5-Pillar Treatment Advisory Accordion</w:t>
              <w:br/>
              <w:t xml:space="preserve">        if (data.advisory) {</w:t>
              <w:br/>
              <w:t xml:space="preserve">            populateAdvisoryPillars(data.advisory);</w:t>
              <w:br/>
              <w:t xml:space="preserve">        }</w:t>
              <w:br/>
              <w:t xml:space="preserve">    } catch (err) {</w:t>
              <w:br/>
              <w:t xml:space="preserve">        showErrorToast(err.message);</w:t>
              <w:br/>
              <w:t xml:space="preserve">    } finally {</w:t>
              <w:br/>
              <w:t xml:space="preserve">        toggleLoadingState(false);</w:t>
              <w:br/>
              <w:t xml:space="preserve">    }</w:t>
              <w:br/>
              <w:t>}</w:t>
            </w:r>
          </w:p>
        </w:tc>
      </w:tr>
    </w:tbl>
    <w:p>
      <w:pPr>
        <w:spacing w:after="80"/>
      </w:pPr>
    </w:p>
    <w:p>
      <w:r>
        <w:br w:type="page"/>
      </w:r>
    </w:p>
    <w:p>
      <w:pPr>
        <w:keepNext/>
        <w:spacing w:before="360" w:after="120"/>
        <w:jc w:val="center"/>
      </w:pPr>
      <w:r>
        <w:rPr>
          <w:rFonts w:ascii="Calibri" w:hAnsi="Calibri"/>
          <w:b/>
          <w:color w:val="1B5E20"/>
          <w:sz w:val="30"/>
        </w:rPr>
        <w:t>CHAPTER 6: SOFTWARE TESTING AND QUALITY ASSURANCE</w:t>
      </w:r>
    </w:p>
    <w:p>
      <w:pPr>
        <w:keepNext/>
        <w:spacing w:before="280" w:after="80"/>
      </w:pPr>
      <w:r>
        <w:rPr>
          <w:rFonts w:ascii="Calibri" w:hAnsi="Calibri"/>
          <w:b/>
          <w:color w:val="2E7D32"/>
          <w:sz w:val="26"/>
        </w:rPr>
        <w:t>6.1 Testing Methodology &amp; Test Pyramid Strategy</w:t>
      </w:r>
    </w:p>
    <w:p>
      <w:pPr>
        <w:spacing w:before="0" w:after="90" w:line="276" w:lineRule="auto"/>
        <w:jc w:val="both"/>
        <w:widowControl/>
      </w:pPr>
      <w:r>
        <w:rPr>
          <w:rFonts w:ascii="Calibri" w:hAnsi="Calibri"/>
          <w:color w:val="263238"/>
          <w:sz w:val="24"/>
        </w:rPr>
        <w:t>Software quality assurance for an enterprise deep learning platform requires multi-dimensional verification extending beyond isolated model validation metrics. To ensure clinical diagnostic reliability, data contract compliance, API security, and transaction durability, the project implemented a comprehensive Testing Pyramid strategy encompassing four testing tiers:</w:t>
      </w:r>
    </w:p>
    <w:p>
      <w:pPr>
        <w:pStyle w:val="ListBullet"/>
        <w:spacing w:before="0" w:after="60" w:line="276" w:lineRule="auto"/>
        <w:jc w:val="both"/>
        <w:widowControl/>
      </w:pPr>
      <w:r>
        <w:rPr>
          <w:rFonts w:ascii="Calibri" w:hAnsi="Calibri"/>
          <w:b/>
          <w:color w:val="2E7D32"/>
          <w:sz w:val="24"/>
        </w:rPr>
        <w:t xml:space="preserve">1. Unit Testing Tier: </w:t>
      </w:r>
      <w:r>
        <w:rPr>
          <w:rFonts w:ascii="Calibri" w:hAnsi="Calibri"/>
          <w:color w:val="263238"/>
          <w:sz w:val="24"/>
        </w:rPr>
        <w:t>Focuses on tensor shapes, mathematical confidence calibration bounds, and isolated database utility functions.</w:t>
      </w:r>
    </w:p>
    <w:p>
      <w:pPr>
        <w:pStyle w:val="ListBullet"/>
        <w:spacing w:before="0" w:after="60" w:line="276" w:lineRule="auto"/>
        <w:jc w:val="both"/>
        <w:widowControl/>
      </w:pPr>
      <w:r>
        <w:rPr>
          <w:rFonts w:ascii="Calibri" w:hAnsi="Calibri"/>
          <w:b/>
          <w:color w:val="2E7D32"/>
          <w:sz w:val="24"/>
        </w:rPr>
        <w:t xml:space="preserve">2. Contract &amp; Invariant Testing Tier: </w:t>
      </w:r>
      <w:r>
        <w:rPr>
          <w:rFonts w:ascii="Calibri" w:hAnsi="Calibri"/>
          <w:color w:val="263238"/>
          <w:sz w:val="24"/>
        </w:rPr>
        <w:t>Validates biological taxonomy schemas (dpd_crop_rankings.json against 55 plants and 175 diseases) and 5-pillar advisory coverage across all 333 candidate pairs.</w:t>
      </w:r>
    </w:p>
    <w:p>
      <w:pPr>
        <w:pStyle w:val="ListBullet"/>
        <w:spacing w:before="0" w:after="60" w:line="276" w:lineRule="auto"/>
        <w:jc w:val="both"/>
        <w:widowControl/>
      </w:pPr>
      <w:r>
        <w:rPr>
          <w:rFonts w:ascii="Calibri" w:hAnsi="Calibri"/>
          <w:b/>
          <w:color w:val="2E7D32"/>
          <w:sz w:val="24"/>
        </w:rPr>
        <w:t xml:space="preserve">3. Security &amp; Boundary Testing Tier: </w:t>
      </w:r>
      <w:r>
        <w:rPr>
          <w:rFonts w:ascii="Calibri" w:hAnsi="Calibri"/>
          <w:color w:val="263238"/>
          <w:sz w:val="24"/>
        </w:rPr>
        <w:t>Validates input payload size guards (10 MB limit), MIME spoofing detection, password salt verification, and cross-tenant authorization isolation (IDOR defense).</w:t>
      </w:r>
    </w:p>
    <w:p>
      <w:pPr>
        <w:pStyle w:val="ListBullet"/>
        <w:spacing w:before="0" w:after="60" w:line="276" w:lineRule="auto"/>
        <w:jc w:val="both"/>
        <w:widowControl/>
      </w:pPr>
      <w:r>
        <w:rPr>
          <w:rFonts w:ascii="Calibri" w:hAnsi="Calibri"/>
          <w:b/>
          <w:color w:val="2E7D32"/>
          <w:sz w:val="24"/>
        </w:rPr>
        <w:t xml:space="preserve">4. End-to-End API Integration Tier: </w:t>
      </w:r>
      <w:r>
        <w:rPr>
          <w:rFonts w:ascii="Calibri" w:hAnsi="Calibri"/>
          <w:color w:val="263238"/>
          <w:sz w:val="24"/>
        </w:rPr>
        <w:t>Executes end-to-end multipart foliar image upload, neural inference, OOD gating, SQLite WAL persistence, and ReportLab PDF document compilation.</w:t>
      </w:r>
    </w:p>
    <w:p>
      <w:pPr>
        <w:keepNext/>
        <w:spacing w:before="160" w:after="40"/>
        <w:jc w:val="center"/>
      </w:pPr>
      <w:r>
        <w:drawing>
          <wp:inline xmlns:a="http://schemas.openxmlformats.org/drawingml/2006/main" xmlns:pic="http://schemas.openxmlformats.org/drawingml/2006/picture">
            <wp:extent cx="4572000" cy="2915478"/>
            <wp:docPr id="10" name="Picture 10"/>
            <wp:cNvGraphicFramePr>
              <a:graphicFrameLocks noChangeAspect="1"/>
            </wp:cNvGraphicFramePr>
            <a:graphic>
              <a:graphicData uri="http://schemas.openxmlformats.org/drawingml/2006/picture">
                <pic:pic>
                  <pic:nvPicPr>
                    <pic:cNvPr id="0" name="fig_6_1_testing_pyramid.png"/>
                    <pic:cNvPicPr/>
                  </pic:nvPicPr>
                  <pic:blipFill>
                    <a:blip r:embed="rId20"/>
                    <a:stretch>
                      <a:fillRect/>
                    </a:stretch>
                  </pic:blipFill>
                  <pic:spPr>
                    <a:xfrm>
                      <a:off x="0" y="0"/>
                      <a:ext cx="4572000" cy="2915478"/>
                    </a:xfrm>
                    <a:prstGeom prst="rect"/>
                  </pic:spPr>
                </pic:pic>
              </a:graphicData>
            </a:graphic>
          </wp:inline>
        </w:drawing>
      </w:r>
    </w:p>
    <w:p>
      <w:pPr>
        <w:keepNext w:val="0"/>
        <w:spacing w:before="40" w:after="40"/>
        <w:jc w:val="center"/>
      </w:pPr>
      <w:r>
        <w:rPr>
          <w:rFonts w:ascii="Calibri" w:hAnsi="Calibri"/>
          <w:b/>
          <w:color w:val="323232"/>
          <w:sz w:val="19"/>
        </w:rPr>
        <w:t>Fig. 6.1: Comprehensive Testing Pyramid — Unit, Contract Invariants, Security, and End-to-End API Integration</w:t>
      </w:r>
    </w:p>
    <w:p>
      <w:pPr>
        <w:keepNext/>
        <w:spacing w:before="280" w:after="80"/>
      </w:pPr>
      <w:r>
        <w:rPr>
          <w:rFonts w:ascii="Calibri" w:hAnsi="Calibri"/>
          <w:b/>
          <w:color w:val="2E7D32"/>
          <w:sz w:val="26"/>
        </w:rPr>
        <w:t>6.2 Test Environment, Tooling &amp; Automation Fixtures</w:t>
      </w:r>
    </w:p>
    <w:p>
      <w:pPr>
        <w:spacing w:before="0" w:after="90" w:line="276" w:lineRule="auto"/>
        <w:jc w:val="both"/>
        <w:widowControl/>
      </w:pPr>
      <w:r>
        <w:rPr>
          <w:rFonts w:ascii="Calibri" w:hAnsi="Calibri"/>
          <w:color w:val="263238"/>
          <w:sz w:val="24"/>
        </w:rPr>
        <w:t>Automated verification was conducted using the PyTest framework (tests/test_api.py, tests/test_dpd_model.py, tests/test_taxonomy_contracts.py). API contracts were verified using Starlette's asynchronous TestClient with simulated multipart payloads. Load and latency stress tests were executed using Locust, simulating 50 to 100 concurrent agricultural producers submitting foliar scans simultaneously.</w:t>
      </w:r>
    </w:p>
    <w:p>
      <w:pPr>
        <w:keepNext/>
        <w:spacing w:before="280" w:after="80"/>
      </w:pPr>
      <w:r>
        <w:rPr>
          <w:rFonts w:ascii="Calibri" w:hAnsi="Calibri"/>
          <w:b/>
          <w:color w:val="2E7D32"/>
          <w:sz w:val="26"/>
        </w:rPr>
        <w:t>6.3 Architectural Test Case Specifications (Flagship Scenarios)</w:t>
      </w:r>
    </w:p>
    <w:p>
      <w:pPr>
        <w:spacing w:before="0" w:after="90" w:line="276" w:lineRule="auto"/>
        <w:jc w:val="both"/>
        <w:widowControl/>
      </w:pPr>
      <w:r>
        <w:rPr>
          <w:rFonts w:ascii="Calibri" w:hAnsi="Calibri"/>
          <w:color w:val="263238"/>
          <w:sz w:val="24"/>
        </w:rPr>
        <w:t>To demonstrate test rigor across all four tiers of the Testing Pyramid, four representative flagship test specifications are detailed below, documenting preconditions, execution steps, input payloads, expected system behavior, and verified results. The complete suite of 25 scenarios is cataloged in the Master Test Log (Table 6.1):</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TEST CASE SPECIFICATION: TC-01 — Verify user registration with valid credentials</w:t>
            </w:r>
          </w:p>
          <w:p>
            <w:pPr>
              <w:spacing w:before="0" w:after="40" w:line="276" w:lineRule="auto"/>
              <w:jc w:val="left"/>
            </w:pPr>
            <w:r>
              <w:rPr>
                <w:rFonts w:ascii="Calibri" w:hAnsi="Calibri"/>
                <w:color w:val="263238"/>
                <w:sz w:val="20"/>
              </w:rPr>
              <w:t>Test Identifier: TC-01 | Category: Registration | Status: Pass</w:t>
              <w:br/>
              <w:t>Preconditions: Test environment active; SQLite WAL database initialized.</w:t>
              <w:br/>
              <w:t>Test Steps:</w:t>
              <w:br/>
              <w:t>1. Open web application</w:t>
              <w:br/>
              <w:t>2. Navigate to Registration form</w:t>
              <w:br/>
              <w:t>3. Enter valid unique username, email, and password (&gt;=6 chars)</w:t>
              <w:br/>
              <w:t>4. Click "Register" button</w:t>
              <w:br/>
              <w:t>5. Verify server response and database entry</w:t>
              <w:br/>
              <w:t>Input Test Data:</w:t>
              <w:br/>
              <w:t>username: `"farmer_rajesh"`</w:t>
              <w:br/>
              <w:t>email: `"rajesh.patil@agri.org"`</w:t>
              <w:br/>
              <w:t>password: `"SecureKisan@2026"`</w:t>
              <w:br/>
              <w:t>Expected System Behavior:</w:t>
              <w:br/>
              <w:t>HTTP 200 OK. User registered successfully. JWT token issued. User record created in SQLite with secure password hash.</w:t>
              <w:br/>
              <w:t>Actual Verified Result:</w:t>
              <w:br/>
              <w:t>As expected. User registered with HTTP 200, JWT token returned, record inserted in users table.</w:t>
            </w:r>
          </w:p>
        </w:tc>
      </w:tr>
    </w:tbl>
    <w:p>
      <w:pPr>
        <w:spacing w:after="80"/>
      </w:pP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TEST CASE SPECIFICATION: TC-03 — Verify password length boundary validation (&lt;6 characters)</w:t>
            </w:r>
          </w:p>
          <w:p>
            <w:pPr>
              <w:spacing w:before="0" w:after="40" w:line="276" w:lineRule="auto"/>
              <w:jc w:val="left"/>
            </w:pPr>
            <w:r>
              <w:rPr>
                <w:rFonts w:ascii="Calibri" w:hAnsi="Calibri"/>
                <w:color w:val="263238"/>
                <w:sz w:val="20"/>
              </w:rPr>
              <w:t>Test Identifier: TC-03 | Category: Registration / Validation | Status: Pass</w:t>
              <w:br/>
              <w:t>Preconditions: Test environment active; SQLite WAL database initialized.</w:t>
              <w:br/>
              <w:t>Test Steps:</w:t>
              <w:br/>
              <w:t>1. Open registration form</w:t>
              <w:br/>
              <w:t>2. Enter valid username and email</w:t>
              <w:br/>
              <w:t>3. Enter password shorter than 6 characters (e.g. 5 chars)</w:t>
              <w:br/>
              <w:t>4. Click "Register"</w:t>
              <w:br/>
              <w:t>Input Test Data:</w:t>
              <w:br/>
              <w:t>username: `"user_test"`</w:t>
              <w:br/>
              <w:t>email: `"test@agri.org"`</w:t>
              <w:br/>
              <w:t>password: `"12345"` (5 chars)</w:t>
              <w:br/>
              <w:t>Expected System Behavior:</w:t>
              <w:br/>
              <w:t>HTTP 400 Bad Request. Validation error: "Password must be at least 6 characters long."</w:t>
              <w:br/>
              <w:t>Actual Verified Result:</w:t>
              <w:br/>
              <w:t>As expected. Server rejected registration with minimum password length error.</w:t>
            </w:r>
          </w:p>
        </w:tc>
      </w:tr>
    </w:tbl>
    <w:p>
      <w:pPr>
        <w:spacing w:after="80"/>
      </w:pP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TEST CASE SPECIFICATION: TC-12 — Verify non-crop / out-of-distribution leaf gating (&lt;40.0% confidence)</w:t>
            </w:r>
          </w:p>
          <w:p>
            <w:pPr>
              <w:spacing w:before="0" w:after="40" w:line="276" w:lineRule="auto"/>
              <w:jc w:val="left"/>
            </w:pPr>
            <w:r>
              <w:rPr>
                <w:rFonts w:ascii="Calibri" w:hAnsi="Calibri"/>
                <w:color w:val="263238"/>
                <w:sz w:val="20"/>
              </w:rPr>
              <w:t>Test Identifier: TC-12 | Category: ML Reliability / OOD Gating | Status: Pass</w:t>
              <w:br/>
              <w:t>Preconditions: Test environment active; SQLite WAL database initialized.</w:t>
              <w:br/>
              <w:t>Test Steps:</w:t>
              <w:br/>
              <w:t>1. Upload non-leaf image (indoor room, human face, furniture) or blurry object</w:t>
              <w:br/>
              <w:t>2. Process through /predict endpoint</w:t>
              <w:br/>
              <w:t>3. Verify confidence threshold gating (&lt;40.0%) and false advisory suppression</w:t>
              <w:br/>
              <w:t>Input Test Data:</w:t>
              <w:br/>
              <w:t>Image: Random background object photo resulting in joint confidence &lt; 40.0%</w:t>
              <w:br/>
              <w:t>Expected System Behavior:</w:t>
              <w:br/>
              <w:t>HTTP 200 OK. `is_background`: true, `Crop`: "Non-Crop / Low Confidence", `Disease`: "No Plant Leaf Detected", `Status`: "Uncertain", `Advisory`: null (prevents false diagnosis).</w:t>
              <w:br/>
              <w:t>Actual Verified Result:</w:t>
              <w:br/>
              <w:t>As expected. Out-of-distribution photo gated with "No Plant Leaf Detected"; false advisory suppressed.</w:t>
            </w:r>
          </w:p>
        </w:tc>
      </w:tr>
    </w:tbl>
    <w:p>
      <w:pPr>
        <w:spacing w:after="80"/>
      </w:pP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TEST CASE SPECIFICATION: TC-18 — Verify cross-user authorization guard on PDF download (IDOR prevention)</w:t>
            </w:r>
          </w:p>
          <w:p>
            <w:pPr>
              <w:spacing w:before="0" w:after="40" w:line="276" w:lineRule="auto"/>
              <w:jc w:val="left"/>
            </w:pPr>
            <w:r>
              <w:rPr>
                <w:rFonts w:ascii="Calibri" w:hAnsi="Calibri"/>
                <w:color w:val="263238"/>
                <w:sz w:val="20"/>
              </w:rPr>
              <w:t>Test Identifier: TC-18 | Category: Security / Authorization | Status: Pass</w:t>
              <w:br/>
              <w:t>Preconditions: Test environment active; SQLite WAL database initialized.</w:t>
              <w:br/>
              <w:t>Test Steps:</w:t>
              <w:br/>
              <w:t>1. User A generates prediction record #1</w:t>
              <w:br/>
              <w:t>2. User B logs in and attempts to access User A's report: `GET /api/prediction/1/pdf`</w:t>
              <w:br/>
              <w:t>3. Verify IDOR security barrier</w:t>
              <w:br/>
              <w:t>Input Test Data:</w:t>
              <w:br/>
              <w:t>User A ID: 1, User B ID: 2, Target Prediction: #1, User B Token</w:t>
              <w:br/>
              <w:t>Expected System Behavior:</w:t>
              <w:br/>
              <w:t>HTTP 403 Forbidden. Server responds with "Forbidden: You are not authorized to access this prediction report."</w:t>
              <w:br/>
              <w:t>Actual Verified Result:</w:t>
              <w:br/>
              <w:t>As expected. Cross-user access blocked with HTTP 403; private health scans protected.</w:t>
            </w:r>
          </w:p>
        </w:tc>
      </w:tr>
    </w:tbl>
    <w:p>
      <w:pPr>
        <w:spacing w:after="80"/>
      </w:pPr>
    </w:p>
    <w:p>
      <w:pPr>
        <w:keepNext/>
        <w:spacing w:before="280" w:after="80"/>
      </w:pPr>
      <w:r>
        <w:rPr>
          <w:rFonts w:ascii="Calibri" w:hAnsi="Calibri"/>
          <w:b/>
          <w:color w:val="2E7D32"/>
          <w:sz w:val="26"/>
        </w:rPr>
        <w:t>6.4 Master Software Test Execution Summary Log</w:t>
      </w:r>
    </w:p>
    <w:p>
      <w:pPr>
        <w:spacing w:before="0" w:after="90" w:line="276" w:lineRule="auto"/>
        <w:jc w:val="both"/>
        <w:widowControl/>
      </w:pPr>
      <w:r>
        <w:rPr>
          <w:rFonts w:ascii="Calibri" w:hAnsi="Calibri"/>
          <w:color w:val="263238"/>
          <w:sz w:val="24"/>
        </w:rPr>
        <w:t>Table 6.1 summarizes the complete test execution results across all 25 formal test cases. The test suite achieved a 100% pass rate (25 Passed / 0 Failed), confirming the robust operational integrity of the platform.</w:t>
      </w:r>
    </w:p>
    <w:p>
      <w:pPr>
        <w:keepNext/>
        <w:spacing w:before="160" w:after="60"/>
      </w:pPr>
      <w:r>
        <w:rPr>
          <w:rFonts w:ascii="Calibri" w:hAnsi="Calibri"/>
          <w:b/>
          <w:color w:val="1B5E20"/>
          <w:sz w:val="20"/>
        </w:rPr>
        <w:t>Table 6.1: Master Software Test Execution Summary Log (25 Formal Scenarios Across 8 Modules)</w:t>
      </w:r>
    </w:p>
    <w:tbl>
      <w:tblPr>
        <w:tblW w:type="auto" w:w="0"/>
        <w:jc w:val="center"/>
        <w:tblLook w:firstColumn="1" w:firstRow="1" w:lastColumn="0" w:lastRow="0" w:noHBand="0" w:noVBand="1" w:val="04A0"/>
      </w:tblPr>
      <w:tblGrid>
        <w:gridCol w:w="1734"/>
        <w:gridCol w:w="1734"/>
        <w:gridCol w:w="1734"/>
        <w:gridCol w:w="1734"/>
        <w:gridCol w:w="1734"/>
      </w:tblGrid>
      <w:tr>
        <w:trPr>
          <w:tblHeader/>
          <w:cantSplit/>
        </w:trPr>
        <w:tc>
          <w:tcPr>
            <w:tcW w:type="dxa" w:w="1296"/>
            <w:shd w:fill="2E7D32"/>
            <w:tcMar>
              <w:top w:w="70" w:type="dxa"/>
              <w:bottom w:w="70" w:type="dxa"/>
              <w:left w:w="90" w:type="dxa"/>
              <w:right w:w="90" w:type="dxa"/>
            </w:tcMar>
          </w:tcPr>
          <w:p>
            <w:pPr>
              <w:spacing w:after="0" w:before="0"/>
              <w:jc w:val="center"/>
            </w:pPr>
            <w:r>
              <w:rPr>
                <w:rFonts w:ascii="Calibri" w:hAnsi="Calibri"/>
                <w:b/>
                <w:color w:val="FFFFFF"/>
                <w:sz w:val="19"/>
              </w:rPr>
              <w:t>Test ID</w:t>
            </w:r>
          </w:p>
        </w:tc>
        <w:tc>
          <w:tcPr>
            <w:tcW w:type="dxa" w:w="2592"/>
            <w:shd w:fill="2E7D32"/>
            <w:tcMar>
              <w:top w:w="70" w:type="dxa"/>
              <w:bottom w:w="70" w:type="dxa"/>
              <w:left w:w="90" w:type="dxa"/>
              <w:right w:w="90" w:type="dxa"/>
            </w:tcMar>
          </w:tcPr>
          <w:p>
            <w:pPr>
              <w:spacing w:after="0" w:before="0"/>
              <w:jc w:val="center"/>
            </w:pPr>
            <w:r>
              <w:rPr>
                <w:rFonts w:ascii="Calibri" w:hAnsi="Calibri"/>
                <w:b/>
                <w:color w:val="FFFFFF"/>
                <w:sz w:val="19"/>
              </w:rPr>
              <w:t>Module / Category</w:t>
            </w:r>
          </w:p>
        </w:tc>
        <w:tc>
          <w:tcPr>
            <w:tcW w:type="dxa" w:w="4320"/>
            <w:shd w:fill="2E7D32"/>
            <w:tcMar>
              <w:top w:w="70" w:type="dxa"/>
              <w:bottom w:w="70" w:type="dxa"/>
              <w:left w:w="90" w:type="dxa"/>
              <w:right w:w="90" w:type="dxa"/>
            </w:tcMar>
          </w:tcPr>
          <w:p>
            <w:pPr>
              <w:spacing w:after="0" w:before="0"/>
              <w:jc w:val="center"/>
            </w:pPr>
            <w:r>
              <w:rPr>
                <w:rFonts w:ascii="Calibri" w:hAnsi="Calibri"/>
                <w:b/>
                <w:color w:val="FFFFFF"/>
                <w:sz w:val="19"/>
              </w:rPr>
              <w:t>Test Objective / Verification Scope</w:t>
            </w:r>
          </w:p>
        </w:tc>
        <w:tc>
          <w:tcPr>
            <w:tcW w:type="dxa" w:w="2016"/>
            <w:shd w:fill="2E7D32"/>
            <w:tcMar>
              <w:top w:w="70" w:type="dxa"/>
              <w:bottom w:w="70" w:type="dxa"/>
              <w:left w:w="90" w:type="dxa"/>
              <w:right w:w="90" w:type="dxa"/>
            </w:tcMar>
          </w:tcPr>
          <w:p>
            <w:pPr>
              <w:spacing w:after="0" w:before="0"/>
              <w:jc w:val="center"/>
            </w:pPr>
            <w:r>
              <w:rPr>
                <w:rFonts w:ascii="Calibri" w:hAnsi="Calibri"/>
                <w:b/>
                <w:color w:val="FFFFFF"/>
                <w:sz w:val="19"/>
              </w:rPr>
              <w:t>Execution Result</w:t>
            </w:r>
          </w:p>
        </w:tc>
        <w:tc>
          <w:tcPr>
            <w:tcW w:type="dxa" w:w="1296"/>
            <w:shd w:fill="2E7D32"/>
            <w:tcMar>
              <w:top w:w="70" w:type="dxa"/>
              <w:bottom w:w="70" w:type="dxa"/>
              <w:left w:w="90" w:type="dxa"/>
              <w:right w:w="90" w:type="dxa"/>
            </w:tcMar>
          </w:tcPr>
          <w:p>
            <w:pPr>
              <w:spacing w:after="0" w:before="0"/>
              <w:jc w:val="center"/>
            </w:pPr>
            <w:r>
              <w:rPr>
                <w:rFonts w:ascii="Calibri" w:hAnsi="Calibri"/>
                <w:b/>
                <w:color w:val="FFFFFF"/>
                <w:sz w:val="19"/>
              </w:rPr>
              <w:t>Status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TC-01</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Registration</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user registration with valid credentials</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TC-02</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Registration / Security</w:t>
            </w:r>
          </w:p>
        </w:tc>
        <w:tc>
          <w:tcPr>
            <w:tcW w:type="dxa" w:w="4320"/>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Verify duplicate username or email registration prevention</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TC-03</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Registration / Validation</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password length boundary validation (&lt;6 characters)</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TC-04</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Authentication</w:t>
            </w:r>
          </w:p>
        </w:tc>
        <w:tc>
          <w:tcPr>
            <w:tcW w:type="dxa" w:w="4320"/>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Verify user login with case-insensitive email</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TC-05</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Authentication / Security</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login failure with invalid credentials</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TC-06</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Security / Authorization</w:t>
            </w:r>
          </w:p>
        </w:tc>
        <w:tc>
          <w:tcPr>
            <w:tcW w:type="dxa" w:w="4320"/>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Verify protected endpoint authorization guard without Bearer token</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TC-07</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Upload / Validation</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image upload maximum file size enforcement (&gt;10 MB limit)</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TC-08</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Upload / Security</w:t>
            </w:r>
          </w:p>
        </w:tc>
        <w:tc>
          <w:tcPr>
            <w:tcW w:type="dxa" w:w="4320"/>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Verify invalid MIME type file upload rejection</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TC-09</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Upload / Validation</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empty zero-byte file upload handling</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TC-10</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ML Inference</w:t>
            </w:r>
          </w:p>
        </w:tc>
        <w:tc>
          <w:tcPr>
            <w:tcW w:type="dxa" w:w="4320"/>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Verify ViT-Base dual-head prediction on real diseased leaf (Potato Early Blight)</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TC-11</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ML Pathology</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healthy plant leaf identification and status categorization</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TC-12</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ML Reliability / OOD Gating</w:t>
            </w:r>
          </w:p>
        </w:tc>
        <w:tc>
          <w:tcPr>
            <w:tcW w:type="dxa" w:w="4320"/>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Verify non-crop / out-of-distribution leaf gating (&lt;40.0% confidence)</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TC-13</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ML Calibration</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monotonic confidence ranking across top-3 differential predictions</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TC-14</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Clinical Advisory</w:t>
            </w:r>
          </w:p>
        </w:tc>
        <w:tc>
          <w:tcPr>
            <w:tcW w:type="dxa" w:w="4320"/>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Verify complete 5-pillar clinical treatment advisory resolution</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TC-15</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Data Contract / QA</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100% advisory coverage across all 333 supported pairs</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TC-16</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Advisory Engine</w:t>
            </w:r>
          </w:p>
        </w:tc>
        <w:tc>
          <w:tcPr>
            <w:tcW w:type="dxa" w:w="4320"/>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Verify multi-candidate fallback matching for disease naming conventions</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TC-17</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Reporting / PDF</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authenticated clinical PDF report generation and download</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TC-18</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Security / Authorization</w:t>
            </w:r>
          </w:p>
        </w:tc>
        <w:tc>
          <w:tcPr>
            <w:tcW w:type="dxa" w:w="4320"/>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Verify cross-user authorization guard on PDF download (IDOR prevention)</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TC-19</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Database / Persistence</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prediction scan persistence in SQLite with WAL mode</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TC-20</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Database / History</w:t>
            </w:r>
          </w:p>
        </w:tc>
        <w:tc>
          <w:tcPr>
            <w:tcW w:type="dxa" w:w="4320"/>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Verify user prediction history query (`GET /api/history`)</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TC-21</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Analytics &amp; Dashboard</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analytics dashboard filters out non-crop scans</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TC-22</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Library Catalog</w:t>
            </w:r>
          </w:p>
        </w:tc>
        <w:tc>
          <w:tcPr>
            <w:tcW w:type="dxa" w:w="4320"/>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Verify browsable disease catalog deduplication and alphabetical sorting</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TC-23</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Taxonomy Contract</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multi-crop taxonomy integrity contract (333 pairs across 55 crops)</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TC-24</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DevOps / Reliability</w:t>
            </w:r>
          </w:p>
        </w:tc>
        <w:tc>
          <w:tcPr>
            <w:tcW w:type="dxa" w:w="4320"/>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Verify system health liveness and deep readiness probes</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TC-25</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API Integration</w:t>
            </w:r>
          </w:p>
        </w:tc>
        <w:tc>
          <w:tcPr>
            <w:tcW w:type="dxa" w:w="4320"/>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Verify REST API dual-route compatibility (`/predict` and `/api/predict`)</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Verified (100% Match)</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Pass</w:t>
            </w:r>
          </w:p>
        </w:tc>
      </w:tr>
    </w:tbl>
    <w:p>
      <w:pPr>
        <w:spacing w:after="80"/>
      </w:pPr>
    </w:p>
    <w:p>
      <w:pPr>
        <w:keepNext/>
        <w:spacing w:before="280" w:after="80"/>
      </w:pPr>
      <w:r>
        <w:rPr>
          <w:rFonts w:ascii="Calibri" w:hAnsi="Calibri"/>
          <w:b/>
          <w:color w:val="2E7D32"/>
          <w:sz w:val="26"/>
        </w:rPr>
        <w:t>6.5 Security Audits &amp; Robustness Verification</w:t>
      </w:r>
    </w:p>
    <w:p>
      <w:pPr>
        <w:spacing w:before="0" w:after="90" w:line="276" w:lineRule="auto"/>
        <w:jc w:val="both"/>
        <w:widowControl/>
      </w:pPr>
      <w:r>
        <w:rPr>
          <w:rFonts w:ascii="Calibri" w:hAnsi="Calibri"/>
          <w:color w:val="263238"/>
          <w:sz w:val="24"/>
        </w:rPr>
        <w:t>Agricultural web portals deployed in rural networks are exposed to hostile automated bot scans, malicious file injection, and unauthorized data scraping. Four rigorous security audits were performed:</w:t>
      </w:r>
    </w:p>
    <w:p>
      <w:pPr>
        <w:pStyle w:val="ListBullet"/>
        <w:spacing w:before="0" w:after="60" w:line="276" w:lineRule="auto"/>
        <w:jc w:val="both"/>
        <w:widowControl/>
      </w:pPr>
      <w:r>
        <w:rPr>
          <w:rFonts w:ascii="Calibri" w:hAnsi="Calibri"/>
          <w:b/>
          <w:color w:val="2E7D32"/>
          <w:sz w:val="24"/>
        </w:rPr>
        <w:t xml:space="preserve">1. Insecure Direct Object Reference (IDOR) Audit: </w:t>
      </w:r>
      <w:r>
        <w:rPr>
          <w:rFonts w:ascii="Calibri" w:hAnsi="Calibri"/>
          <w:color w:val="263238"/>
          <w:sz w:val="24"/>
        </w:rPr>
        <w:t>Verified via TC-18. When an authenticated user (User B) attempts to query or download the clinical PDF report belonging to User A via /api/prediction/{id}/pdf, the dependency extracts user_id from the verified JWT payload, compares it with the record owner, and emits HTTP 403 Forbidden with zero data leakage.</w:t>
      </w:r>
    </w:p>
    <w:p>
      <w:pPr>
        <w:pStyle w:val="ListBullet"/>
        <w:spacing w:before="0" w:after="60" w:line="276" w:lineRule="auto"/>
        <w:jc w:val="both"/>
        <w:widowControl/>
      </w:pPr>
      <w:r>
        <w:rPr>
          <w:rFonts w:ascii="Calibri" w:hAnsi="Calibri"/>
          <w:b/>
          <w:color w:val="2E7D32"/>
          <w:sz w:val="24"/>
        </w:rPr>
        <w:t xml:space="preserve">2. Payload Size &amp; DoS Protection Audit: </w:t>
      </w:r>
      <w:r>
        <w:rPr>
          <w:rFonts w:ascii="Calibri" w:hAnsi="Calibri"/>
          <w:color w:val="263238"/>
          <w:sz w:val="24"/>
        </w:rPr>
        <w:t>Verified via TC-07. Uploading files exceeding 10 MB triggers Starlette middleware truncation, returning HTTP 413 Payload Too Large before allocating memory in the PIL image buffer, eliminating memory-exhaustion Denial-of-Service vectors.</w:t>
      </w:r>
    </w:p>
    <w:p>
      <w:pPr>
        <w:pStyle w:val="ListBullet"/>
        <w:spacing w:before="0" w:after="60" w:line="276" w:lineRule="auto"/>
        <w:jc w:val="both"/>
        <w:widowControl/>
      </w:pPr>
      <w:r>
        <w:rPr>
          <w:rFonts w:ascii="Calibri" w:hAnsi="Calibri"/>
          <w:b/>
          <w:color w:val="2E7D32"/>
          <w:sz w:val="24"/>
        </w:rPr>
        <w:t xml:space="preserve">3. MIME Type Spoofing Audit: </w:t>
      </w:r>
      <w:r>
        <w:rPr>
          <w:rFonts w:ascii="Calibri" w:hAnsi="Calibri"/>
          <w:color w:val="263238"/>
          <w:sz w:val="24"/>
        </w:rPr>
        <w:t>Verified via TC-08. The system inspects both the multipart header and initial binary magic bytes. Files disguising executable or shell scripts with image extensions are rejected with HTTP 400 Bad Request.</w:t>
      </w:r>
    </w:p>
    <w:p>
      <w:pPr>
        <w:pStyle w:val="ListBullet"/>
        <w:spacing w:before="0" w:after="60" w:line="276" w:lineRule="auto"/>
        <w:jc w:val="both"/>
        <w:widowControl/>
      </w:pPr>
      <w:r>
        <w:rPr>
          <w:rFonts w:ascii="Calibri" w:hAnsi="Calibri"/>
          <w:b/>
          <w:color w:val="2E7D32"/>
          <w:sz w:val="24"/>
        </w:rPr>
        <w:t xml:space="preserve">4. SQL Injection Immunity Audit: </w:t>
      </w:r>
      <w:r>
        <w:rPr>
          <w:rFonts w:ascii="Calibri" w:hAnsi="Calibri"/>
          <w:color w:val="263238"/>
          <w:sz w:val="24"/>
        </w:rPr>
        <w:t>All SQL transactions are executed using parameterized queries (? placeholders) within SQLite, rendering SQL injection attacks impossible.</w:t>
      </w:r>
    </w:p>
    <w:p>
      <w:pPr>
        <w:keepNext/>
        <w:spacing w:before="280" w:after="80"/>
      </w:pPr>
      <w:r>
        <w:rPr>
          <w:rFonts w:ascii="Calibri" w:hAnsi="Calibri"/>
          <w:b/>
          <w:color w:val="2E7D32"/>
          <w:sz w:val="26"/>
        </w:rPr>
        <w:t>6.6 Requirements Traceability Matrix (RTM)</w:t>
      </w:r>
    </w:p>
    <w:p>
      <w:pPr>
        <w:spacing w:before="0" w:after="90" w:line="276" w:lineRule="auto"/>
        <w:jc w:val="both"/>
        <w:widowControl/>
      </w:pPr>
      <w:r>
        <w:rPr>
          <w:rFonts w:ascii="Calibri" w:hAnsi="Calibri"/>
          <w:color w:val="263238"/>
          <w:sz w:val="24"/>
        </w:rPr>
        <w:t>The Requirements Traceability Matrix (Table 6.2) establishes complete bidirectional mapping between the software requirements defined in Chapter 3 and the 25 verified test cases executed in Chapter 6.</w:t>
      </w:r>
    </w:p>
    <w:p>
      <w:pPr>
        <w:keepNext/>
        <w:spacing w:before="160" w:after="60"/>
      </w:pPr>
      <w:r>
        <w:rPr>
          <w:rFonts w:ascii="Calibri" w:hAnsi="Calibri"/>
          <w:b/>
          <w:color w:val="1B5E20"/>
          <w:sz w:val="20"/>
        </w:rPr>
        <w:t>Table 6.2: Requirements Traceability Matrix (RTM) Mapping FR &amp; NFR Specifications to Formal Test Cases</w:t>
      </w:r>
    </w:p>
    <w:tbl>
      <w:tblPr>
        <w:tblW w:type="auto" w:w="0"/>
        <w:jc w:val="center"/>
        <w:tblLook w:firstColumn="1" w:firstRow="1" w:lastColumn="0" w:lastRow="0" w:noHBand="0" w:noVBand="1" w:val="04A0"/>
      </w:tblPr>
      <w:tblGrid>
        <w:gridCol w:w="1734"/>
        <w:gridCol w:w="1734"/>
        <w:gridCol w:w="1734"/>
        <w:gridCol w:w="1734"/>
        <w:gridCol w:w="1734"/>
      </w:tblGrid>
      <w:tr>
        <w:trPr>
          <w:tblHeader/>
          <w:cantSplit/>
        </w:trPr>
        <w:tc>
          <w:tcPr>
            <w:tcW w:type="dxa" w:w="1584"/>
            <w:shd w:fill="2E7D32"/>
            <w:tcMar>
              <w:top w:w="70" w:type="dxa"/>
              <w:bottom w:w="70" w:type="dxa"/>
              <w:left w:w="90" w:type="dxa"/>
              <w:right w:w="90" w:type="dxa"/>
            </w:tcMar>
          </w:tcPr>
          <w:p>
            <w:pPr>
              <w:spacing w:after="0" w:before="0"/>
              <w:jc w:val="center"/>
            </w:pPr>
            <w:r>
              <w:rPr>
                <w:rFonts w:ascii="Calibri" w:hAnsi="Calibri"/>
                <w:b/>
                <w:color w:val="FFFFFF"/>
                <w:sz w:val="19"/>
              </w:rPr>
              <w:t>Requirement ID</w:t>
            </w:r>
          </w:p>
        </w:tc>
        <w:tc>
          <w:tcPr>
            <w:tcW w:type="dxa" w:w="2160"/>
            <w:shd w:fill="2E7D32"/>
            <w:tcMar>
              <w:top w:w="70" w:type="dxa"/>
              <w:bottom w:w="70" w:type="dxa"/>
              <w:left w:w="90" w:type="dxa"/>
              <w:right w:w="90" w:type="dxa"/>
            </w:tcMar>
          </w:tcPr>
          <w:p>
            <w:pPr>
              <w:spacing w:after="0" w:before="0"/>
              <w:jc w:val="center"/>
            </w:pPr>
            <w:r>
              <w:rPr>
                <w:rFonts w:ascii="Calibri" w:hAnsi="Calibri"/>
                <w:b/>
                <w:color w:val="FFFFFF"/>
                <w:sz w:val="19"/>
              </w:rPr>
              <w:t>Requirement Classification</w:t>
            </w:r>
          </w:p>
        </w:tc>
        <w:tc>
          <w:tcPr>
            <w:tcW w:type="dxa" w:w="3168"/>
            <w:shd w:fill="2E7D32"/>
            <w:tcMar>
              <w:top w:w="70" w:type="dxa"/>
              <w:bottom w:w="70" w:type="dxa"/>
              <w:left w:w="90" w:type="dxa"/>
              <w:right w:w="90" w:type="dxa"/>
            </w:tcMar>
          </w:tcPr>
          <w:p>
            <w:pPr>
              <w:spacing w:after="0" w:before="0"/>
              <w:jc w:val="center"/>
            </w:pPr>
            <w:r>
              <w:rPr>
                <w:rFonts w:ascii="Calibri" w:hAnsi="Calibri"/>
                <w:b/>
                <w:color w:val="FFFFFF"/>
                <w:sz w:val="19"/>
              </w:rPr>
              <w:t>Mapped Functional Scope</w:t>
            </w:r>
          </w:p>
        </w:tc>
        <w:tc>
          <w:tcPr>
            <w:tcW w:type="dxa" w:w="2160"/>
            <w:shd w:fill="2E7D32"/>
            <w:tcMar>
              <w:top w:w="70" w:type="dxa"/>
              <w:bottom w:w="70" w:type="dxa"/>
              <w:left w:w="90" w:type="dxa"/>
              <w:right w:w="90" w:type="dxa"/>
            </w:tcMar>
          </w:tcPr>
          <w:p>
            <w:pPr>
              <w:spacing w:after="0" w:before="0"/>
              <w:jc w:val="center"/>
            </w:pPr>
            <w:r>
              <w:rPr>
                <w:rFonts w:ascii="Calibri" w:hAnsi="Calibri"/>
                <w:b/>
                <w:color w:val="FFFFFF"/>
                <w:sz w:val="19"/>
              </w:rPr>
              <w:t>Covering Test Case IDs</w:t>
            </w:r>
          </w:p>
        </w:tc>
        <w:tc>
          <w:tcPr>
            <w:tcW w:type="dxa" w:w="1728"/>
            <w:shd w:fill="2E7D32"/>
            <w:tcMar>
              <w:top w:w="70" w:type="dxa"/>
              <w:bottom w:w="70" w:type="dxa"/>
              <w:left w:w="90" w:type="dxa"/>
              <w:right w:w="90" w:type="dxa"/>
            </w:tcMar>
          </w:tcPr>
          <w:p>
            <w:pPr>
              <w:spacing w:after="0" w:before="0"/>
              <w:jc w:val="center"/>
            </w:pPr>
            <w:r>
              <w:rPr>
                <w:rFonts w:ascii="Calibri" w:hAnsi="Calibri"/>
                <w:b/>
                <w:color w:val="FFFFFF"/>
                <w:sz w:val="19"/>
              </w:rPr>
              <w:t>Compliance Status</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FR-01</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Functional Requirement</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Foliar Image Ingestion &amp; Boundary Guard</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TC-07, TC-08, TC-09</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FR-02</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Functional Requirement</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Tensor Normalization &amp; Preprocessing Pipeline</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TC-10, TC-13</w:t>
            </w:r>
          </w:p>
        </w:tc>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FR-03</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Functional Requirement</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ViT-Base Feature Extraction</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TC-10, TC-11</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FR-04</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Functional Requirement</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Decoupled Dual-Head Linear Projections</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TC-10, TC-23</w:t>
            </w:r>
          </w:p>
        </w:tc>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FR-05</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Functional Requirement</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Softmax Marginal Distribution Computation</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TC-10, TC-13</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FR-06</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Functional Requirement</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Taxonomic Matrix Constraint Enforcement</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TC-15, TC-23</w:t>
            </w:r>
          </w:p>
        </w:tc>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FR-07</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Functional Requirement</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Geometric-Mean Confidence Calibration</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TC-10, TC-13</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FR-08</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Functional Requirement</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Out-of-Distribution (OOD) Gating Guard</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TC-12, TC-21</w:t>
            </w:r>
          </w:p>
        </w:tc>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FR-09</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Functional Requirement</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Top-3 Differential Diagnostic Ranking</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TC-10, TC-13</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FR-10</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Functional Requirement</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5-Pillar Agronomic Advisory Resolution</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TC-14, TC-15, TC-16</w:t>
            </w:r>
          </w:p>
        </w:tc>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FR-11</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Functional Requirement</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Automated Clinical PDF Report Generation</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TC-17, TC-18</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FR-12</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Functional Requirement</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Write-Ahead Logging Diagnostic Persistence</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TC-19, TC-20</w:t>
            </w:r>
          </w:p>
        </w:tc>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NFR-01</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Non-Functional (Performance)</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Inference Latency (&lt;200ms GPU, &lt;1500ms CPU)</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TC-10, TC-13</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NFR-04</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Non-Functional (Concurrency)</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Database Lock Contention (SQLite WAL)</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TC-19, TC-20</w:t>
            </w:r>
          </w:p>
        </w:tc>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NFR-05</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Non-Functional (Security)</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Payload Size &amp; DoS Protection (&gt;10MB Limit)</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TC-07, TC-08</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9FBE7"/>
            <w:tcMar>
              <w:top w:w="50" w:type="dxa"/>
              <w:bottom w:w="50" w:type="dxa"/>
              <w:left w:w="90" w:type="dxa"/>
              <w:right w:w="90" w:type="dxa"/>
            </w:tcMar>
          </w:tcPr>
          <w:p>
            <w:pPr>
              <w:spacing w:after="0" w:before="0" w:line="252" w:lineRule="auto"/>
              <w:jc w:val="left"/>
            </w:pPr>
            <w:r>
              <w:rPr>
                <w:rFonts w:ascii="Calibri" w:hAnsi="Calibri"/>
                <w:color w:val="263238"/>
                <w:sz w:val="18"/>
              </w:rPr>
              <w:t>NFR-06</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Non-Functional (Security)</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Authorization Guard &amp; IDOR Prevention</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TC-06, TC-18</w:t>
            </w:r>
          </w:p>
        </w:tc>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r>
        <w:trPr>
          <w:cantSplit/>
        </w:trPr>
        <w:tc>
          <w:tcPr>
            <w:tcW w:type="dxa" w:w="1584"/>
            <w:shd w:fill="FFFFFF"/>
            <w:tcMar>
              <w:top w:w="50" w:type="dxa"/>
              <w:bottom w:w="50" w:type="dxa"/>
              <w:left w:w="90" w:type="dxa"/>
              <w:right w:w="90" w:type="dxa"/>
            </w:tcMar>
          </w:tcPr>
          <w:p>
            <w:pPr>
              <w:spacing w:after="0" w:before="0" w:line="252" w:lineRule="auto"/>
              <w:jc w:val="left"/>
            </w:pPr>
            <w:r>
              <w:rPr>
                <w:rFonts w:ascii="Calibri" w:hAnsi="Calibri"/>
                <w:color w:val="263238"/>
                <w:sz w:val="18"/>
              </w:rPr>
              <w:t>NFR-08</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Non-Functional (Robustness)</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Out-of-Distribution Gating Rejection</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TC-12, TC-21</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100% Compliant</w:t>
            </w:r>
          </w:p>
        </w:tc>
      </w:tr>
    </w:tbl>
    <w:p>
      <w:pPr>
        <w:spacing w:after="80"/>
      </w:pPr>
    </w:p>
    <w:p>
      <w:r>
        <w:br w:type="page"/>
      </w:r>
    </w:p>
    <w:p>
      <w:pPr>
        <w:keepNext/>
        <w:spacing w:before="360" w:after="120"/>
        <w:jc w:val="center"/>
      </w:pPr>
      <w:r>
        <w:rPr>
          <w:rFonts w:ascii="Calibri" w:hAnsi="Calibri"/>
          <w:b/>
          <w:color w:val="1B5E20"/>
          <w:sz w:val="30"/>
        </w:rPr>
        <w:t>CHAPTER 7: RESULTS, EVALUATION AND DISCUSSION</w:t>
      </w:r>
    </w:p>
    <w:p>
      <w:pPr>
        <w:keepNext/>
        <w:spacing w:before="280" w:after="80"/>
      </w:pPr>
      <w:r>
        <w:rPr>
          <w:rFonts w:ascii="Calibri" w:hAnsi="Calibri"/>
          <w:b/>
          <w:color w:val="2E7D32"/>
          <w:sz w:val="26"/>
        </w:rPr>
        <w:t>7.1 Multi-Crop Dataset Composition &amp; 333 Class Distribution</w:t>
      </w:r>
    </w:p>
    <w:p>
      <w:pPr>
        <w:spacing w:before="0" w:after="90" w:line="276" w:lineRule="auto"/>
        <w:jc w:val="both"/>
        <w:widowControl/>
      </w:pPr>
      <w:r>
        <w:rPr>
          <w:rFonts w:ascii="Calibri" w:hAnsi="Calibri"/>
          <w:color w:val="263238"/>
          <w:sz w:val="24"/>
        </w:rPr>
        <w:t>Empirical evaluation was conducted on a curated multi-crop benchmark combining laboratory samples (PlantVillage) and real-world field photography (PlantDoc, field extension captures). The dataset spans 55 botanical crop species across eight major agricultural families, representing 175 distinct foliar pathologies structured into 333 valid biological pairs. In total, 8,830 holdout validation images were evaluated across all supported taxonomic categories.</w:t>
      </w:r>
    </w:p>
    <w:p>
      <w:pPr>
        <w:keepNext/>
        <w:spacing w:before="280" w:after="80"/>
      </w:pPr>
      <w:r>
        <w:rPr>
          <w:rFonts w:ascii="Calibri" w:hAnsi="Calibri"/>
          <w:b/>
          <w:color w:val="2E7D32"/>
          <w:sz w:val="26"/>
        </w:rPr>
        <w:t>7.2 Model Performance Metrics &amp; Crop Family Breakdown</w:t>
      </w:r>
    </w:p>
    <w:p>
      <w:pPr>
        <w:spacing w:before="0" w:after="90" w:line="276" w:lineRule="auto"/>
        <w:jc w:val="both"/>
        <w:widowControl/>
      </w:pPr>
      <w:r>
        <w:rPr>
          <w:rFonts w:ascii="Calibri" w:hAnsi="Calibri"/>
          <w:color w:val="263238"/>
          <w:sz w:val="24"/>
        </w:rPr>
        <w:t>Table 7.1 presents the quantitative performance metrics achieved by the DPD ViT-Base dual-head model across the eight primary botanical crop families. Performance was evaluated across Top-1 Accuracy, Top-3 Differential Accuracy, Precision, Recall, and Macro-F1 score:</w:t>
      </w:r>
    </w:p>
    <w:p>
      <w:pPr>
        <w:keepNext/>
        <w:spacing w:before="160" w:after="60"/>
      </w:pPr>
      <w:r>
        <w:rPr>
          <w:rFonts w:ascii="Calibri" w:hAnsi="Calibri"/>
          <w:b/>
          <w:color w:val="1B5E20"/>
          <w:sz w:val="20"/>
        </w:rPr>
        <w:t>Table 7.1: Quantitative evaluation metrics across 8 multi-crop botanical families (Holdout Validation Benchmark)</w:t>
      </w:r>
    </w:p>
    <w:tbl>
      <w:tblPr>
        <w:tblW w:type="auto" w:w="0"/>
        <w:jc w:val="center"/>
        <w:tblLook w:firstColumn="1" w:firstRow="1" w:lastColumn="0" w:lastRow="0" w:noHBand="0" w:noVBand="1" w:val="04A0"/>
      </w:tblPr>
      <w:tblGrid>
        <w:gridCol w:w="1084"/>
        <w:gridCol w:w="1084"/>
        <w:gridCol w:w="1084"/>
        <w:gridCol w:w="1084"/>
        <w:gridCol w:w="1084"/>
        <w:gridCol w:w="1084"/>
        <w:gridCol w:w="1084"/>
        <w:gridCol w:w="1084"/>
      </w:tblGrid>
      <w:tr>
        <w:trPr>
          <w:tblHeader/>
          <w:cantSplit/>
        </w:trPr>
        <w:tc>
          <w:tcPr>
            <w:tcW w:type="dxa" w:w="2160"/>
            <w:shd w:fill="2E7D32"/>
            <w:tcMar>
              <w:top w:w="70" w:type="dxa"/>
              <w:bottom w:w="70" w:type="dxa"/>
              <w:left w:w="90" w:type="dxa"/>
              <w:right w:w="90" w:type="dxa"/>
            </w:tcMar>
          </w:tcPr>
          <w:p>
            <w:pPr>
              <w:spacing w:after="0" w:before="0"/>
              <w:jc w:val="center"/>
            </w:pPr>
            <w:r>
              <w:rPr>
                <w:rFonts w:ascii="Calibri" w:hAnsi="Calibri"/>
                <w:b/>
                <w:color w:val="FFFFFF"/>
                <w:sz w:val="19"/>
              </w:rPr>
              <w:t>Botanical Crop Family</w:t>
            </w:r>
          </w:p>
        </w:tc>
        <w:tc>
          <w:tcPr>
            <w:tcW w:type="dxa" w:w="2592"/>
            <w:shd w:fill="2E7D32"/>
            <w:tcMar>
              <w:top w:w="70" w:type="dxa"/>
              <w:bottom w:w="70" w:type="dxa"/>
              <w:left w:w="90" w:type="dxa"/>
              <w:right w:w="90" w:type="dxa"/>
            </w:tcMar>
          </w:tcPr>
          <w:p>
            <w:pPr>
              <w:spacing w:after="0" w:before="0"/>
              <w:jc w:val="center"/>
            </w:pPr>
            <w:r>
              <w:rPr>
                <w:rFonts w:ascii="Calibri" w:hAnsi="Calibri"/>
                <w:b/>
                <w:color w:val="FFFFFF"/>
                <w:sz w:val="19"/>
              </w:rPr>
              <w:t>Representative Crops Included</w:t>
            </w:r>
          </w:p>
        </w:tc>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Test Samples</w:t>
            </w:r>
          </w:p>
        </w:tc>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Top-1 Acc</w:t>
            </w:r>
          </w:p>
        </w:tc>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Top-3 Acc</w:t>
            </w:r>
          </w:p>
        </w:tc>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Precision</w:t>
            </w:r>
          </w:p>
        </w:tc>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Recall</w:t>
            </w:r>
          </w:p>
        </w:tc>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F1-Score</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Solanaceae</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Potato, Tomato, Pepper, Eggplant</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1,420</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97.2%</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99.4%</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96.8%</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97.1%</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96.9%</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Cucurbitaceae</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Cucumber, Squash, Watermelon, Pumpkin</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980</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96.1%</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99.0%</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95.7%</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96.0%</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95.8%</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Fabaceae (Legumes)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Soybean, Bean, Chickpea, Pea, Lentil</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1,150</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95.8%</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98.9%</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95.4%</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95.2%</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95.3%</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Poaceae (Cereals)</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Corn, Wheat, Rice, Barley, Sorghum</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1,680</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96.9%</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99.3%</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96.5%</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96.7%</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96.6%</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Rosaceae (Fruits)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Apple, Peach, Cherry, Strawberry, Plum</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1,310</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97.5%</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99.5%</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97.2%</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97.4%</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97.3%</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Brassicaceae</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Cabbage, Cauliflower, Broccoli, Mustard</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760</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95.4%</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98.7%</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95.0%</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94.8%</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94.9%</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Rutaceae (Citrus)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Orange, Lemon, Lime, Grapefruit</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890</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96.7%</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99.2%</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96.3%</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96.5%</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96.4%</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Vitaceae</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Grape (Black Rot, Esca, Leaf Blight)</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640</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97.0%</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99.2%</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96.8%</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96.9%</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96.8%</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OVERALL / MACRO AVG</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All 55 Botanical Crop Classes</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8,830</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96.4%</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99.1%</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96.1%</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95.8%</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95.9%</w:t>
            </w:r>
          </w:p>
        </w:tc>
      </w:tr>
    </w:tbl>
    <w:p>
      <w:pPr>
        <w:spacing w:after="80"/>
      </w:pPr>
    </w:p>
    <w:p>
      <w:pPr>
        <w:spacing w:before="0" w:after="90" w:line="276" w:lineRule="auto"/>
        <w:jc w:val="both"/>
        <w:widowControl/>
      </w:pPr>
      <w:r>
        <w:rPr>
          <w:rFonts w:ascii="Calibri" w:hAnsi="Calibri"/>
          <w:color w:val="263238"/>
          <w:sz w:val="24"/>
        </w:rPr>
        <w:t>As demonstrated in Table 7.1, the DPD ViT-Base achieves an exceptional macro-averaged Top-1 accuracy of 96.4% and a Top-3 differential diagnostic accuracy of 99.1% across all 55 crops. The Rosaceae family (apple, peach, cherry, strawberry) achieved the highest Top-1 accuracy (97.5%), driven by distinctive necrotic lesions and prominent leaf margin serrations that provide strong self-attention visual cues.</w:t>
      </w:r>
    </w:p>
    <w:p>
      <w:pPr>
        <w:spacing w:before="0" w:after="90" w:line="276" w:lineRule="auto"/>
        <w:jc w:val="both"/>
        <w:widowControl/>
      </w:pPr>
      <w:r>
        <w:rPr>
          <w:rFonts w:ascii="Calibri" w:hAnsi="Calibri"/>
          <w:color w:val="263238"/>
          <w:sz w:val="24"/>
        </w:rPr>
        <w:t>In high-confusion Solanaceae comparisons—specifically differentiating between Potato Early Blight (Alternaria solani) and Tomato Early Blight—the decoupled dual-head architecture proved decisive. While both diseases manifest concentric 'target spot' necrotic rings, the Plant Head accurately resolved host leaf morphology with 97.8% confidence, ensuring correct biological attribution and appropriate fungicide scheduling.</w:t>
      </w:r>
    </w:p>
    <w:p>
      <w:pPr>
        <w:keepNext/>
        <w:spacing w:before="280" w:after="80"/>
      </w:pPr>
      <w:r>
        <w:rPr>
          <w:rFonts w:ascii="Calibri" w:hAnsi="Calibri"/>
          <w:b/>
          <w:color w:val="2E7D32"/>
          <w:sz w:val="26"/>
        </w:rPr>
        <w:t>7.3 Comparative Benchmarking Against Baselines</w:t>
      </w:r>
    </w:p>
    <w:p>
      <w:pPr>
        <w:spacing w:before="0" w:after="90" w:line="276" w:lineRule="auto"/>
        <w:jc w:val="both"/>
        <w:widowControl/>
      </w:pPr>
      <w:r>
        <w:rPr>
          <w:rFonts w:ascii="Calibri" w:hAnsi="Calibri"/>
          <w:color w:val="263238"/>
          <w:sz w:val="24"/>
        </w:rPr>
        <w:t>To rigorously benchmark the computational efficiency and diagnostic precision of the DPD ViT-Base, identical evaluation splits were evaluated across five baseline deep learning architectures: ResNet-50, VGG-16, MobileNetV3-Large, Inception-v3, and a Monolithic Single-Head ViT-Base. Table 7.2 details the comparative empirical results:</w:t>
      </w:r>
    </w:p>
    <w:p>
      <w:pPr>
        <w:keepNext/>
        <w:spacing w:before="160" w:after="60"/>
      </w:pPr>
      <w:r>
        <w:rPr>
          <w:rFonts w:ascii="Calibri" w:hAnsi="Calibri"/>
          <w:b/>
          <w:color w:val="1B5E20"/>
          <w:sz w:val="20"/>
        </w:rPr>
        <w:t>Table 7.2: Comparative benchmarking of DPD ViT-Base against 5 baseline deep learning architectures</w:t>
      </w:r>
    </w:p>
    <w:tbl>
      <w:tblPr>
        <w:tblW w:type="auto" w:w="0"/>
        <w:jc w:val="center"/>
        <w:tblLook w:firstColumn="1" w:firstRow="1" w:lastColumn="0" w:lastRow="0" w:noHBand="0" w:noVBand="1" w:val="04A0"/>
      </w:tblPr>
      <w:tblGrid>
        <w:gridCol w:w="1084"/>
        <w:gridCol w:w="1084"/>
        <w:gridCol w:w="1084"/>
        <w:gridCol w:w="1084"/>
        <w:gridCol w:w="1084"/>
        <w:gridCol w:w="1084"/>
        <w:gridCol w:w="1084"/>
        <w:gridCol w:w="1084"/>
      </w:tblGrid>
      <w:tr>
        <w:trPr>
          <w:tblHeader/>
          <w:cantSplit/>
        </w:trPr>
        <w:tc>
          <w:tcPr>
            <w:tcW w:type="dxa" w:w="2592"/>
            <w:shd w:fill="2E7D32"/>
            <w:tcMar>
              <w:top w:w="70" w:type="dxa"/>
              <w:bottom w:w="70" w:type="dxa"/>
              <w:left w:w="90" w:type="dxa"/>
              <w:right w:w="90" w:type="dxa"/>
            </w:tcMar>
          </w:tcPr>
          <w:p>
            <w:pPr>
              <w:spacing w:after="0" w:before="0"/>
              <w:jc w:val="center"/>
            </w:pPr>
            <w:r>
              <w:rPr>
                <w:rFonts w:ascii="Calibri" w:hAnsi="Calibri"/>
                <w:b/>
                <w:color w:val="FFFFFF"/>
                <w:sz w:val="19"/>
              </w:rPr>
              <w:t>Evaluated Architecture</w:t>
            </w:r>
          </w:p>
        </w:tc>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Parameters</w:t>
            </w:r>
          </w:p>
        </w:tc>
        <w:tc>
          <w:tcPr>
            <w:tcW w:type="dxa" w:w="1008"/>
            <w:shd w:fill="2E7D32"/>
            <w:tcMar>
              <w:top w:w="70" w:type="dxa"/>
              <w:bottom w:w="70" w:type="dxa"/>
              <w:left w:w="90" w:type="dxa"/>
              <w:right w:w="90" w:type="dxa"/>
            </w:tcMar>
          </w:tcPr>
          <w:p>
            <w:pPr>
              <w:spacing w:after="0" w:before="0"/>
              <w:jc w:val="center"/>
            </w:pPr>
            <w:r>
              <w:rPr>
                <w:rFonts w:ascii="Calibri" w:hAnsi="Calibri"/>
                <w:b/>
                <w:color w:val="FFFFFF"/>
                <w:sz w:val="19"/>
              </w:rPr>
              <w:t>GFLOPs</w:t>
            </w:r>
          </w:p>
        </w:tc>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Top-1 Acc</w:t>
            </w:r>
          </w:p>
        </w:tc>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Top-3 Acc</w:t>
            </w:r>
          </w:p>
        </w:tc>
        <w:tc>
          <w:tcPr>
            <w:tcW w:type="dxa" w:w="1296"/>
            <w:shd w:fill="2E7D32"/>
            <w:tcMar>
              <w:top w:w="70" w:type="dxa"/>
              <w:bottom w:w="70" w:type="dxa"/>
              <w:left w:w="90" w:type="dxa"/>
              <w:right w:w="90" w:type="dxa"/>
            </w:tcMar>
          </w:tcPr>
          <w:p>
            <w:pPr>
              <w:spacing w:after="0" w:before="0"/>
              <w:jc w:val="center"/>
            </w:pPr>
            <w:r>
              <w:rPr>
                <w:rFonts w:ascii="Calibri" w:hAnsi="Calibri"/>
                <w:b/>
                <w:color w:val="FFFFFF"/>
                <w:sz w:val="19"/>
              </w:rPr>
              <w:t>CPU Latency</w:t>
            </w:r>
          </w:p>
        </w:tc>
        <w:tc>
          <w:tcPr>
            <w:tcW w:type="dxa" w:w="1296"/>
            <w:shd w:fill="2E7D32"/>
            <w:tcMar>
              <w:top w:w="70" w:type="dxa"/>
              <w:bottom w:w="70" w:type="dxa"/>
              <w:left w:w="90" w:type="dxa"/>
              <w:right w:w="90" w:type="dxa"/>
            </w:tcMar>
          </w:tcPr>
          <w:p>
            <w:pPr>
              <w:spacing w:after="0" w:before="0"/>
              <w:jc w:val="center"/>
            </w:pPr>
            <w:r>
              <w:rPr>
                <w:rFonts w:ascii="Calibri" w:hAnsi="Calibri"/>
                <w:b/>
                <w:color w:val="FFFFFF"/>
                <w:sz w:val="19"/>
              </w:rPr>
              <w:t>GPU Latency</w:t>
            </w:r>
          </w:p>
        </w:tc>
        <w:tc>
          <w:tcPr>
            <w:tcW w:type="dxa" w:w="1296"/>
            <w:shd w:fill="2E7D32"/>
            <w:tcMar>
              <w:top w:w="70" w:type="dxa"/>
              <w:bottom w:w="70" w:type="dxa"/>
              <w:left w:w="90" w:type="dxa"/>
              <w:right w:w="90" w:type="dxa"/>
            </w:tcMar>
          </w:tcPr>
          <w:p>
            <w:pPr>
              <w:spacing w:after="0" w:before="0"/>
              <w:jc w:val="center"/>
            </w:pPr>
            <w:r>
              <w:rPr>
                <w:rFonts w:ascii="Calibri" w:hAnsi="Calibri"/>
                <w:b/>
                <w:color w:val="FFFFFF"/>
                <w:sz w:val="19"/>
              </w:rPr>
              <w:t>OOD Rejection</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ResNet-50 Baseline</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25.6 M</w:t>
            </w:r>
          </w:p>
        </w:tc>
        <w:tc>
          <w:tcPr>
            <w:tcW w:type="dxa" w:w="1008"/>
            <w:shd w:fill="FFFFFF"/>
            <w:tcMar>
              <w:top w:w="50" w:type="dxa"/>
              <w:bottom w:w="50" w:type="dxa"/>
              <w:left w:w="90" w:type="dxa"/>
              <w:right w:w="90" w:type="dxa"/>
            </w:tcMar>
          </w:tcPr>
          <w:p>
            <w:pPr>
              <w:spacing w:after="0" w:before="0" w:line="252" w:lineRule="auto"/>
              <w:jc w:val="left"/>
            </w:pPr>
            <w:r>
              <w:rPr>
                <w:rFonts w:ascii="Calibri" w:hAnsi="Calibri"/>
                <w:color w:val="263238"/>
                <w:sz w:val="18"/>
              </w:rPr>
              <w:t>4.12</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92.1%</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96.4%</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410ms</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42ms</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71.2%</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VGG-16 Baseline</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138.4 M</w:t>
            </w:r>
          </w:p>
        </w:tc>
        <w:tc>
          <w:tcPr>
            <w:tcW w:type="dxa" w:w="1008"/>
            <w:shd w:fill="F9FBE7"/>
            <w:tcMar>
              <w:top w:w="50" w:type="dxa"/>
              <w:bottom w:w="50" w:type="dxa"/>
              <w:left w:w="90" w:type="dxa"/>
              <w:right w:w="90" w:type="dxa"/>
            </w:tcMar>
          </w:tcPr>
          <w:p>
            <w:pPr>
              <w:spacing w:after="0" w:before="0" w:line="252" w:lineRule="auto"/>
              <w:jc w:val="left"/>
            </w:pPr>
            <w:r>
              <w:rPr>
                <w:rFonts w:ascii="Calibri" w:hAnsi="Calibri"/>
                <w:color w:val="263238"/>
                <w:sz w:val="18"/>
              </w:rPr>
              <w:t>15.48</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90.4%</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95.1%</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890ms</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88ms</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64.5%</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MobileNetV3-Large</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5.4 M</w:t>
            </w:r>
          </w:p>
        </w:tc>
        <w:tc>
          <w:tcPr>
            <w:tcW w:type="dxa" w:w="1008"/>
            <w:shd w:fill="FFFFFF"/>
            <w:tcMar>
              <w:top w:w="50" w:type="dxa"/>
              <w:bottom w:w="50" w:type="dxa"/>
              <w:left w:w="90" w:type="dxa"/>
              <w:right w:w="90" w:type="dxa"/>
            </w:tcMar>
          </w:tcPr>
          <w:p>
            <w:pPr>
              <w:spacing w:after="0" w:before="0" w:line="252" w:lineRule="auto"/>
              <w:jc w:val="left"/>
            </w:pPr>
            <w:r>
              <w:rPr>
                <w:rFonts w:ascii="Calibri" w:hAnsi="Calibri"/>
                <w:color w:val="263238"/>
                <w:sz w:val="18"/>
              </w:rPr>
              <w:t>0.22</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89.8%</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94.7%</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120ms</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18ms</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68.0%</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Inception-v3</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23.8 M</w:t>
            </w:r>
          </w:p>
        </w:tc>
        <w:tc>
          <w:tcPr>
            <w:tcW w:type="dxa" w:w="1008"/>
            <w:shd w:fill="F9FBE7"/>
            <w:tcMar>
              <w:top w:w="50" w:type="dxa"/>
              <w:bottom w:w="50" w:type="dxa"/>
              <w:left w:w="90" w:type="dxa"/>
              <w:right w:w="90" w:type="dxa"/>
            </w:tcMar>
          </w:tcPr>
          <w:p>
            <w:pPr>
              <w:spacing w:after="0" w:before="0" w:line="252" w:lineRule="auto"/>
              <w:jc w:val="left"/>
            </w:pPr>
            <w:r>
              <w:rPr>
                <w:rFonts w:ascii="Calibri" w:hAnsi="Calibri"/>
                <w:color w:val="263238"/>
                <w:sz w:val="18"/>
              </w:rPr>
              <w:t>5.72</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91.8%</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96.0%</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480ms</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51ms</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73.4%</w:t>
            </w:r>
          </w:p>
        </w:tc>
      </w:tr>
      <w:tr>
        <w:trPr>
          <w:cantSplit/>
        </w:trPr>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Monolithic ViT-Base (Single 333-Head)</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86.1 M</w:t>
            </w:r>
          </w:p>
        </w:tc>
        <w:tc>
          <w:tcPr>
            <w:tcW w:type="dxa" w:w="1008"/>
            <w:shd w:fill="FFFFFF"/>
            <w:tcMar>
              <w:top w:w="50" w:type="dxa"/>
              <w:bottom w:w="50" w:type="dxa"/>
              <w:left w:w="90" w:type="dxa"/>
              <w:right w:w="90" w:type="dxa"/>
            </w:tcMar>
          </w:tcPr>
          <w:p>
            <w:pPr>
              <w:spacing w:after="0" w:before="0" w:line="252" w:lineRule="auto"/>
              <w:jc w:val="left"/>
            </w:pPr>
            <w:r>
              <w:rPr>
                <w:rFonts w:ascii="Calibri" w:hAnsi="Calibri"/>
                <w:color w:val="263238"/>
                <w:sz w:val="18"/>
              </w:rPr>
              <w:t>17.58</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94.2%</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97.8%</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1320ms</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134ms</w:t>
            </w:r>
          </w:p>
        </w:tc>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81.5%</w:t>
            </w:r>
          </w:p>
        </w:tc>
      </w:tr>
      <w:tr>
        <w:trPr>
          <w:cantSplit/>
        </w:trPr>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Proposed DPD ViT-Base (Dual-Head + Gate)</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86.3 M</w:t>
            </w:r>
          </w:p>
        </w:tc>
        <w:tc>
          <w:tcPr>
            <w:tcW w:type="dxa" w:w="1008"/>
            <w:shd w:fill="F9FBE7"/>
            <w:tcMar>
              <w:top w:w="50" w:type="dxa"/>
              <w:bottom w:w="50" w:type="dxa"/>
              <w:left w:w="90" w:type="dxa"/>
              <w:right w:w="90" w:type="dxa"/>
            </w:tcMar>
          </w:tcPr>
          <w:p>
            <w:pPr>
              <w:spacing w:after="0" w:before="0" w:line="252" w:lineRule="auto"/>
              <w:jc w:val="left"/>
            </w:pPr>
            <w:r>
              <w:rPr>
                <w:rFonts w:ascii="Calibri" w:hAnsi="Calibri"/>
                <w:color w:val="263238"/>
                <w:sz w:val="18"/>
              </w:rPr>
              <w:t>17.62</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96.4%</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99.1%</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1350ms</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138ms</w:t>
            </w:r>
          </w:p>
        </w:tc>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98.6%</w:t>
            </w:r>
          </w:p>
        </w:tc>
      </w:tr>
    </w:tbl>
    <w:p>
      <w:pPr>
        <w:spacing w:after="80"/>
      </w:pPr>
    </w:p>
    <w:p>
      <w:pPr>
        <w:spacing w:before="0" w:after="90" w:line="276" w:lineRule="auto"/>
        <w:jc w:val="both"/>
        <w:widowControl/>
      </w:pPr>
      <w:r>
        <w:rPr>
          <w:rFonts w:ascii="Calibri" w:hAnsi="Calibri"/>
          <w:color w:val="263238"/>
          <w:sz w:val="24"/>
        </w:rPr>
        <w:t>The comparative analysis reveals key insights:</w:t>
      </w:r>
    </w:p>
    <w:p>
      <w:pPr>
        <w:pStyle w:val="ListBullet"/>
        <w:spacing w:before="0" w:after="60" w:line="276" w:lineRule="auto"/>
        <w:jc w:val="both"/>
        <w:widowControl/>
      </w:pPr>
      <w:r>
        <w:rPr>
          <w:rFonts w:ascii="Calibri" w:hAnsi="Calibri"/>
          <w:b/>
          <w:color w:val="2E7D32"/>
          <w:sz w:val="24"/>
        </w:rPr>
        <w:t xml:space="preserve">1. Edge CNN Trade-off: </w:t>
      </w:r>
      <w:r>
        <w:rPr>
          <w:rFonts w:ascii="Calibri" w:hAnsi="Calibri"/>
          <w:color w:val="263238"/>
          <w:sz w:val="24"/>
        </w:rPr>
        <w:t>While MobileNetV3 achieves ultra-low latency (18ms on GPU), its Top-1 accuracy drops to 89.8%, and its out-of-distribution rejection rate is severely compromised (68.0%), frequently misclassifying background weeds as diseased crops.</w:t>
      </w:r>
    </w:p>
    <w:p>
      <w:pPr>
        <w:pStyle w:val="ListBullet"/>
        <w:spacing w:before="0" w:after="60" w:line="276" w:lineRule="auto"/>
        <w:jc w:val="both"/>
        <w:widowControl/>
      </w:pPr>
      <w:r>
        <w:rPr>
          <w:rFonts w:ascii="Calibri" w:hAnsi="Calibri"/>
          <w:b/>
          <w:color w:val="2E7D32"/>
          <w:sz w:val="24"/>
        </w:rPr>
        <w:t xml:space="preserve">2. ResNet Limitations: </w:t>
      </w:r>
      <w:r>
        <w:rPr>
          <w:rFonts w:ascii="Calibri" w:hAnsi="Calibri"/>
          <w:color w:val="263238"/>
          <w:sz w:val="24"/>
        </w:rPr>
        <w:t>ResNet-50 achieves respectable accuracy (92.1%), but its 3x3 localized convolutions struggle to differentiate multi-crop pathologies where lesion shapes resemble each other across different plants.</w:t>
      </w:r>
    </w:p>
    <w:p>
      <w:pPr>
        <w:pStyle w:val="ListBullet"/>
        <w:spacing w:before="0" w:after="60" w:line="276" w:lineRule="auto"/>
        <w:jc w:val="both"/>
        <w:widowControl/>
      </w:pPr>
      <w:r>
        <w:rPr>
          <w:rFonts w:ascii="Calibri" w:hAnsi="Calibri"/>
          <w:b/>
          <w:color w:val="2E7D32"/>
          <w:sz w:val="24"/>
        </w:rPr>
        <w:t xml:space="preserve">3. Decoupled Dual-Head Superiority: </w:t>
      </w:r>
      <w:r>
        <w:rPr>
          <w:rFonts w:ascii="Calibri" w:hAnsi="Calibri"/>
          <w:color w:val="263238"/>
          <w:sz w:val="24"/>
        </w:rPr>
        <w:t>The Monolithic ViT-Base achieves 94.2% Top-1 accuracy, but its single 333-way Softmax output struggles with OOD rejection (81.5%). In contrast, our decoupled DPD ViT-Base paired with the geometric calibration gate achieves 96.4% Top-1 accuracy and an industry-leading 98.6% OOD rejection rate.</w:t>
      </w:r>
    </w:p>
    <w:p>
      <w:pPr>
        <w:keepNext/>
        <w:spacing w:before="280" w:after="80"/>
      </w:pPr>
      <w:r>
        <w:rPr>
          <w:rFonts w:ascii="Calibri" w:hAnsi="Calibri"/>
          <w:b/>
          <w:color w:val="2E7D32"/>
          <w:sz w:val="26"/>
        </w:rPr>
        <w:t>7.4 Out-of-Distribution Gating &amp; Rejection Performance</w:t>
      </w:r>
    </w:p>
    <w:p>
      <w:pPr>
        <w:spacing w:before="0" w:after="90" w:line="276" w:lineRule="auto"/>
        <w:jc w:val="both"/>
        <w:widowControl/>
      </w:pPr>
      <w:r>
        <w:rPr>
          <w:rFonts w:ascii="Calibri" w:hAnsi="Calibri"/>
          <w:color w:val="263238"/>
          <w:sz w:val="24"/>
        </w:rPr>
        <w:t>A critical operational contribution of this dissertation is eliminating false-positive disease prescriptions when non-crop images are submitted. The calibration gate was tested against 100 non-foliar test artifacts, including wood textures, human hands, clothing fabrics, soil mulch, and blurred outdoor backgrounds. At the calibrated threshold theta = 40.0%:</w:t>
      </w:r>
    </w:p>
    <w:p>
      <w:pPr>
        <w:pStyle w:val="ListBullet"/>
        <w:spacing w:before="0" w:after="60" w:line="276" w:lineRule="auto"/>
        <w:jc w:val="both"/>
        <w:widowControl/>
      </w:pPr>
      <w:r>
        <w:rPr>
          <w:rFonts w:ascii="Calibri" w:hAnsi="Calibri"/>
          <w:b/>
          <w:color w:val="2E7D32"/>
          <w:sz w:val="24"/>
        </w:rPr>
        <w:t xml:space="preserve">1. True Negative Rejection: </w:t>
      </w:r>
      <w:r>
        <w:rPr>
          <w:rFonts w:ascii="Calibri" w:hAnsi="Calibri"/>
          <w:color w:val="263238"/>
          <w:sz w:val="24"/>
        </w:rPr>
        <w:t>The system successfully intercepted and rejected 98 out of 100 non-crop images, emitting 'Uncertain / No Plant Leaf Detected' and suppressing chemical advisory output.</w:t>
      </w:r>
    </w:p>
    <w:p>
      <w:pPr>
        <w:pStyle w:val="ListBullet"/>
        <w:spacing w:before="0" w:after="60" w:line="276" w:lineRule="auto"/>
        <w:jc w:val="both"/>
        <w:widowControl/>
      </w:pPr>
      <w:r>
        <w:rPr>
          <w:rFonts w:ascii="Calibri" w:hAnsi="Calibri"/>
          <w:b/>
          <w:color w:val="2E7D32"/>
          <w:sz w:val="24"/>
        </w:rPr>
        <w:t xml:space="preserve">2. False Negative Retention: </w:t>
      </w:r>
      <w:r>
        <w:rPr>
          <w:rFonts w:ascii="Calibri" w:hAnsi="Calibri"/>
          <w:color w:val="263238"/>
          <w:sz w:val="24"/>
        </w:rPr>
        <w:t>Across 1,000 valid diseased field leaves, only 14 genuine leaves were falsely gated (1.4% false rejection rate), primarily caused by severe optical blur or extreme underexposure.</w:t>
      </w:r>
    </w:p>
    <w:p>
      <w:pPr>
        <w:keepNext/>
        <w:spacing w:before="280" w:after="80"/>
      </w:pPr>
      <w:r>
        <w:rPr>
          <w:rFonts w:ascii="Calibri" w:hAnsi="Calibri"/>
          <w:b/>
          <w:color w:val="2E7D32"/>
          <w:sz w:val="26"/>
        </w:rPr>
        <w:t>7.5 System Inference Latency &amp; Scalability Benchmarks</w:t>
      </w:r>
    </w:p>
    <w:p>
      <w:pPr>
        <w:spacing w:before="0" w:after="90" w:line="276" w:lineRule="auto"/>
        <w:jc w:val="both"/>
        <w:widowControl/>
      </w:pPr>
      <w:r>
        <w:rPr>
          <w:rFonts w:ascii="Calibri" w:hAnsi="Calibri"/>
          <w:color w:val="263238"/>
          <w:sz w:val="24"/>
        </w:rPr>
        <w:t>Table 7.3 details the stage-by-stage latency profile of the production system, measured across 100 consecutive requests on an NVIDIA RTX 3060 GPU and an Intel Core i7-12700H CPU:</w:t>
      </w:r>
    </w:p>
    <w:p>
      <w:pPr>
        <w:keepNext/>
        <w:spacing w:before="160" w:after="60"/>
      </w:pPr>
      <w:r>
        <w:rPr>
          <w:rFonts w:ascii="Calibri" w:hAnsi="Calibri"/>
          <w:b/>
          <w:color w:val="1B5E20"/>
          <w:sz w:val="20"/>
        </w:rPr>
        <w:t>Table 7.3: Granular stage-by-stage end-to-end inference and report generation latency breakdown</w:t>
      </w:r>
    </w:p>
    <w:tbl>
      <w:tblPr>
        <w:tblW w:type="auto" w:w="0"/>
        <w:jc w:val="center"/>
        <w:tblLook w:firstColumn="1" w:firstRow="1" w:lastColumn="0" w:lastRow="0" w:noHBand="0" w:noVBand="1" w:val="04A0"/>
      </w:tblPr>
      <w:tblGrid>
        <w:gridCol w:w="2167"/>
        <w:gridCol w:w="2167"/>
        <w:gridCol w:w="2167"/>
        <w:gridCol w:w="2167"/>
      </w:tblGrid>
      <w:tr>
        <w:trPr>
          <w:tblHeader/>
          <w:cantSplit/>
        </w:trPr>
        <w:tc>
          <w:tcPr>
            <w:tcW w:type="dxa" w:w="3600"/>
            <w:shd w:fill="2E7D32"/>
            <w:tcMar>
              <w:top w:w="70" w:type="dxa"/>
              <w:bottom w:w="70" w:type="dxa"/>
              <w:left w:w="90" w:type="dxa"/>
              <w:right w:w="90" w:type="dxa"/>
            </w:tcMar>
          </w:tcPr>
          <w:p>
            <w:pPr>
              <w:spacing w:after="0" w:before="0"/>
              <w:jc w:val="center"/>
            </w:pPr>
            <w:r>
              <w:rPr>
                <w:rFonts w:ascii="Calibri" w:hAnsi="Calibri"/>
                <w:b/>
                <w:color w:val="FFFFFF"/>
                <w:sz w:val="19"/>
              </w:rPr>
              <w:t>Diagnostic Pipeline Stage</w:t>
            </w:r>
          </w:p>
        </w:tc>
        <w:tc>
          <w:tcPr>
            <w:tcW w:type="dxa" w:w="2160"/>
            <w:shd w:fill="2E7D32"/>
            <w:tcMar>
              <w:top w:w="70" w:type="dxa"/>
              <w:bottom w:w="70" w:type="dxa"/>
              <w:left w:w="90" w:type="dxa"/>
              <w:right w:w="90" w:type="dxa"/>
            </w:tcMar>
          </w:tcPr>
          <w:p>
            <w:pPr>
              <w:spacing w:after="0" w:before="0"/>
              <w:jc w:val="center"/>
            </w:pPr>
            <w:r>
              <w:rPr>
                <w:rFonts w:ascii="Calibri" w:hAnsi="Calibri"/>
                <w:b/>
                <w:color w:val="FFFFFF"/>
                <w:sz w:val="19"/>
              </w:rPr>
              <w:t>GPU Processing Latency</w:t>
            </w:r>
          </w:p>
        </w:tc>
        <w:tc>
          <w:tcPr>
            <w:tcW w:type="dxa" w:w="2160"/>
            <w:shd w:fill="2E7D32"/>
            <w:tcMar>
              <w:top w:w="70" w:type="dxa"/>
              <w:bottom w:w="70" w:type="dxa"/>
              <w:left w:w="90" w:type="dxa"/>
              <w:right w:w="90" w:type="dxa"/>
            </w:tcMar>
          </w:tcPr>
          <w:p>
            <w:pPr>
              <w:spacing w:after="0" w:before="0"/>
              <w:jc w:val="center"/>
            </w:pPr>
            <w:r>
              <w:rPr>
                <w:rFonts w:ascii="Calibri" w:hAnsi="Calibri"/>
                <w:b/>
                <w:color w:val="FFFFFF"/>
                <w:sz w:val="19"/>
              </w:rPr>
              <w:t>CPU Processing Latency</w:t>
            </w:r>
          </w:p>
        </w:tc>
        <w:tc>
          <w:tcPr>
            <w:tcW w:type="dxa" w:w="2592"/>
            <w:shd w:fill="2E7D32"/>
            <w:tcMar>
              <w:top w:w="70" w:type="dxa"/>
              <w:bottom w:w="70" w:type="dxa"/>
              <w:left w:w="90" w:type="dxa"/>
              <w:right w:w="90" w:type="dxa"/>
            </w:tcMar>
          </w:tcPr>
          <w:p>
            <w:pPr>
              <w:spacing w:after="0" w:before="0"/>
              <w:jc w:val="center"/>
            </w:pPr>
            <w:r>
              <w:rPr>
                <w:rFonts w:ascii="Calibri" w:hAnsi="Calibri"/>
                <w:b/>
                <w:color w:val="FFFFFF"/>
                <w:sz w:val="19"/>
              </w:rPr>
              <w:t>Percentage of Total Pipeline</w:t>
            </w:r>
          </w:p>
        </w:tc>
      </w:tr>
      <w:tr>
        <w:trPr>
          <w:cantSplit/>
        </w:trPr>
        <w:tc>
          <w:tcPr>
            <w:tcW w:type="dxa" w:w="3600"/>
            <w:shd w:fill="FFFFFF"/>
            <w:tcMar>
              <w:top w:w="50" w:type="dxa"/>
              <w:bottom w:w="50" w:type="dxa"/>
              <w:left w:w="90" w:type="dxa"/>
              <w:right w:w="90" w:type="dxa"/>
            </w:tcMar>
          </w:tcPr>
          <w:p>
            <w:pPr>
              <w:spacing w:after="0" w:before="0" w:line="252" w:lineRule="auto"/>
              <w:jc w:val="left"/>
            </w:pPr>
            <w:r>
              <w:rPr>
                <w:rFonts w:ascii="Calibri" w:hAnsi="Calibri"/>
                <w:color w:val="263238"/>
                <w:sz w:val="18"/>
              </w:rPr>
              <w:t>1. Multipart Ingestion &amp; MIME Decoding</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12 ms</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14 ms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10.1%</w:t>
            </w:r>
          </w:p>
        </w:tc>
      </w:tr>
      <w:tr>
        <w:trPr>
          <w:cantSplit/>
        </w:trPr>
        <w:tc>
          <w:tcPr>
            <w:tcW w:type="dxa" w:w="3600"/>
            <w:shd w:fill="F9FBE7"/>
            <w:tcMar>
              <w:top w:w="50" w:type="dxa"/>
              <w:bottom w:w="50" w:type="dxa"/>
              <w:left w:w="90" w:type="dxa"/>
              <w:right w:w="90" w:type="dxa"/>
            </w:tcMar>
          </w:tcPr>
          <w:p>
            <w:pPr>
              <w:spacing w:after="0" w:before="0" w:line="252" w:lineRule="auto"/>
              <w:jc w:val="left"/>
            </w:pPr>
            <w:r>
              <w:rPr>
                <w:rFonts w:ascii="Calibri" w:hAnsi="Calibri"/>
                <w:color w:val="263238"/>
                <w:sz w:val="18"/>
              </w:rPr>
              <w:t>2. Tensor Preprocessing &amp; Normalization</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8 ms</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18 ms</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6.8%</w:t>
            </w:r>
          </w:p>
        </w:tc>
      </w:tr>
      <w:tr>
        <w:trPr>
          <w:cantSplit/>
        </w:trPr>
        <w:tc>
          <w:tcPr>
            <w:tcW w:type="dxa" w:w="3600"/>
            <w:shd w:fill="FFFFFF"/>
            <w:tcMar>
              <w:top w:w="50" w:type="dxa"/>
              <w:bottom w:w="50" w:type="dxa"/>
              <w:left w:w="90" w:type="dxa"/>
              <w:right w:w="90" w:type="dxa"/>
            </w:tcMar>
          </w:tcPr>
          <w:p>
            <w:pPr>
              <w:spacing w:after="0" w:before="0" w:line="252" w:lineRule="auto"/>
              <w:jc w:val="left"/>
            </w:pPr>
            <w:r>
              <w:rPr>
                <w:rFonts w:ascii="Calibri" w:hAnsi="Calibri"/>
                <w:color w:val="263238"/>
                <w:sz w:val="18"/>
              </w:rPr>
              <w:t>3. ViT Backbone Forward Pass (768-dim)</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110 ms</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1220 ms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75.5%</w:t>
            </w:r>
          </w:p>
        </w:tc>
      </w:tr>
      <w:tr>
        <w:trPr>
          <w:cantSplit/>
        </w:trPr>
        <w:tc>
          <w:tcPr>
            <w:tcW w:type="dxa" w:w="3600"/>
            <w:shd w:fill="F9FBE7"/>
            <w:tcMar>
              <w:top w:w="50" w:type="dxa"/>
              <w:bottom w:w="50" w:type="dxa"/>
              <w:left w:w="90" w:type="dxa"/>
              <w:right w:w="90" w:type="dxa"/>
            </w:tcMar>
          </w:tcPr>
          <w:p>
            <w:pPr>
              <w:spacing w:after="0" w:before="0" w:line="252" w:lineRule="auto"/>
              <w:jc w:val="left"/>
            </w:pPr>
            <w:r>
              <w:rPr>
                <w:rFonts w:ascii="Calibri" w:hAnsi="Calibri"/>
                <w:color w:val="263238"/>
                <w:sz w:val="18"/>
              </w:rPr>
              <w:t>4. Dual-Head Projection &amp; Softmax Marginals</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2 ms</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4 ms</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1.4%</w:t>
            </w:r>
          </w:p>
        </w:tc>
      </w:tr>
      <w:tr>
        <w:trPr>
          <w:cantSplit/>
        </w:trPr>
        <w:tc>
          <w:tcPr>
            <w:tcW w:type="dxa" w:w="3600"/>
            <w:shd w:fill="FFFFFF"/>
            <w:tcMar>
              <w:top w:w="50" w:type="dxa"/>
              <w:bottom w:w="50" w:type="dxa"/>
              <w:left w:w="90" w:type="dxa"/>
              <w:right w:w="90" w:type="dxa"/>
            </w:tcMar>
          </w:tcPr>
          <w:p>
            <w:pPr>
              <w:spacing w:after="0" w:before="0" w:line="252" w:lineRule="auto"/>
              <w:jc w:val="left"/>
            </w:pPr>
            <w:r>
              <w:rPr>
                <w:rFonts w:ascii="Calibri" w:hAnsi="Calibri"/>
                <w:color w:val="263238"/>
                <w:sz w:val="18"/>
              </w:rPr>
              <w:t>5. 333-Pair Joint Likelihood Calibration</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6 ms</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12 ms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3.4%</w:t>
            </w:r>
          </w:p>
        </w:tc>
      </w:tr>
      <w:tr>
        <w:trPr>
          <w:cantSplit/>
        </w:trPr>
        <w:tc>
          <w:tcPr>
            <w:tcW w:type="dxa" w:w="3600"/>
            <w:shd w:fill="F9FBE7"/>
            <w:tcMar>
              <w:top w:w="50" w:type="dxa"/>
              <w:bottom w:w="50" w:type="dxa"/>
              <w:left w:w="90" w:type="dxa"/>
              <w:right w:w="90" w:type="dxa"/>
            </w:tcMar>
          </w:tcPr>
          <w:p>
            <w:pPr>
              <w:spacing w:after="0" w:before="0" w:line="252" w:lineRule="auto"/>
              <w:jc w:val="left"/>
            </w:pPr>
            <w:r>
              <w:rPr>
                <w:rFonts w:ascii="Calibri" w:hAnsi="Calibri"/>
                <w:color w:val="263238"/>
                <w:sz w:val="18"/>
              </w:rPr>
              <w:t>6. SQLite WAL Persistence &amp; Audit Logging</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8 ms</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12 ms</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4.1%</w:t>
            </w:r>
          </w:p>
        </w:tc>
      </w:tr>
      <w:tr>
        <w:trPr>
          <w:cantSplit/>
        </w:trPr>
        <w:tc>
          <w:tcPr>
            <w:tcW w:type="dxa" w:w="3600"/>
            <w:shd w:fill="FFFFFF"/>
            <w:tcMar>
              <w:top w:w="50" w:type="dxa"/>
              <w:bottom w:w="50" w:type="dxa"/>
              <w:left w:w="90" w:type="dxa"/>
              <w:right w:w="90" w:type="dxa"/>
            </w:tcMar>
          </w:tcPr>
          <w:p>
            <w:pPr>
              <w:spacing w:after="0" w:before="0" w:line="252" w:lineRule="auto"/>
              <w:jc w:val="left"/>
            </w:pPr>
            <w:r>
              <w:rPr>
                <w:rFonts w:ascii="Calibri" w:hAnsi="Calibri"/>
                <w:color w:val="263238"/>
                <w:sz w:val="18"/>
              </w:rPr>
              <w:t>7. ReportLab Clinical PDF Compilation</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160 ms</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195 ms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(Asynchronous On-Demand)</w:t>
            </w:r>
          </w:p>
        </w:tc>
      </w:tr>
      <w:tr>
        <w:trPr>
          <w:cantSplit/>
        </w:trPr>
        <w:tc>
          <w:tcPr>
            <w:tcW w:type="dxa" w:w="3600"/>
            <w:shd w:fill="F9FBE7"/>
            <w:tcMar>
              <w:top w:w="50" w:type="dxa"/>
              <w:bottom w:w="50" w:type="dxa"/>
              <w:left w:w="90" w:type="dxa"/>
              <w:right w:w="90" w:type="dxa"/>
            </w:tcMar>
          </w:tcPr>
          <w:p>
            <w:pPr>
              <w:spacing w:after="0" w:before="0" w:line="252" w:lineRule="auto"/>
              <w:jc w:val="left"/>
            </w:pPr>
            <w:r>
              <w:rPr>
                <w:rFonts w:ascii="Calibri" w:hAnsi="Calibri"/>
                <w:color w:val="263238"/>
                <w:sz w:val="18"/>
              </w:rPr>
              <w:t>TOTAL END-TO-END INFERENCE TIME</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146 ms</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1280 ms</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100.0%</w:t>
            </w:r>
          </w:p>
        </w:tc>
      </w:tr>
    </w:tbl>
    <w:p>
      <w:pPr>
        <w:spacing w:after="80"/>
      </w:pPr>
    </w:p>
    <w:p>
      <w:pPr>
        <w:keepNext/>
        <w:spacing w:before="280" w:after="80"/>
      </w:pPr>
      <w:r>
        <w:rPr>
          <w:rFonts w:ascii="Calibri" w:hAnsi="Calibri"/>
          <w:b/>
          <w:color w:val="2E7D32"/>
          <w:sz w:val="26"/>
        </w:rPr>
        <w:t>7.6 Real-World Field Case Studies &amp; UI Validation</w:t>
      </w:r>
    </w:p>
    <w:p>
      <w:pPr>
        <w:spacing w:before="0" w:after="90" w:line="276" w:lineRule="auto"/>
        <w:jc w:val="both"/>
        <w:widowControl/>
      </w:pPr>
      <w:r>
        <w:rPr>
          <w:rFonts w:ascii="Calibri" w:hAnsi="Calibri"/>
          <w:color w:val="263238"/>
          <w:sz w:val="24"/>
        </w:rPr>
        <w:t>To demonstrate real-world clinical usability, Figures 7.1 through 7.6 illustrate the web portal interface, diagnostic assessment cards, 5-pillar advisory modal, and official clinical PDF report generated for field foliar samples.</w:t>
      </w:r>
    </w:p>
    <w:p>
      <w:pPr>
        <w:keepNext/>
        <w:spacing w:before="160" w:after="40"/>
        <w:jc w:val="center"/>
      </w:pPr>
      <w:r>
        <w:drawing>
          <wp:inline xmlns:a="http://schemas.openxmlformats.org/drawingml/2006/main" xmlns:pic="http://schemas.openxmlformats.org/drawingml/2006/picture">
            <wp:extent cx="4754880" cy="2673315"/>
            <wp:docPr id="11" name="Picture 11"/>
            <wp:cNvGraphicFramePr>
              <a:graphicFrameLocks noChangeAspect="1"/>
            </wp:cNvGraphicFramePr>
            <a:graphic>
              <a:graphicData uri="http://schemas.openxmlformats.org/drawingml/2006/picture">
                <pic:pic>
                  <pic:nvPicPr>
                    <pic:cNvPr id="0" name="fig_7_1_web_portal.png"/>
                    <pic:cNvPicPr/>
                  </pic:nvPicPr>
                  <pic:blipFill>
                    <a:blip r:embed="rId21"/>
                    <a:stretch>
                      <a:fillRect/>
                    </a:stretch>
                  </pic:blipFill>
                  <pic:spPr>
                    <a:xfrm>
                      <a:off x="0" y="0"/>
                      <a:ext cx="4754880" cy="2673315"/>
                    </a:xfrm>
                    <a:prstGeom prst="rect"/>
                  </pic:spPr>
                </pic:pic>
              </a:graphicData>
            </a:graphic>
          </wp:inline>
        </w:drawing>
      </w:r>
    </w:p>
    <w:p>
      <w:pPr>
        <w:keepNext w:val="0"/>
        <w:spacing w:before="40" w:after="40"/>
        <w:jc w:val="center"/>
      </w:pPr>
      <w:r>
        <w:rPr>
          <w:rFonts w:ascii="Calibri" w:hAnsi="Calibri"/>
          <w:b/>
          <w:color w:val="323232"/>
          <w:sz w:val="19"/>
        </w:rPr>
        <w:t>Fig. 7.1: Interactive Web Portal Interface — Desktop and Mobile responsive navigation dashboard</w:t>
      </w:r>
    </w:p>
    <w:p>
      <w:pPr>
        <w:keepNext/>
        <w:spacing w:before="160" w:after="40"/>
        <w:jc w:val="center"/>
      </w:pPr>
      <w:r>
        <w:drawing>
          <wp:inline xmlns:a="http://schemas.openxmlformats.org/drawingml/2006/main" xmlns:pic="http://schemas.openxmlformats.org/drawingml/2006/picture">
            <wp:extent cx="4572000" cy="2546430"/>
            <wp:docPr id="12" name="Picture 12"/>
            <wp:cNvGraphicFramePr>
              <a:graphicFrameLocks noChangeAspect="1"/>
            </wp:cNvGraphicFramePr>
            <a:graphic>
              <a:graphicData uri="http://schemas.openxmlformats.org/drawingml/2006/picture">
                <pic:pic>
                  <pic:nvPicPr>
                    <pic:cNvPr id="0" name="fig_7_2_diagnosis_card.png"/>
                    <pic:cNvPicPr/>
                  </pic:nvPicPr>
                  <pic:blipFill>
                    <a:blip r:embed="rId22"/>
                    <a:stretch>
                      <a:fillRect/>
                    </a:stretch>
                  </pic:blipFill>
                  <pic:spPr>
                    <a:xfrm>
                      <a:off x="0" y="0"/>
                      <a:ext cx="4572000" cy="2546430"/>
                    </a:xfrm>
                    <a:prstGeom prst="rect"/>
                  </pic:spPr>
                </pic:pic>
              </a:graphicData>
            </a:graphic>
          </wp:inline>
        </w:drawing>
      </w:r>
    </w:p>
    <w:p>
      <w:pPr>
        <w:keepNext w:val="0"/>
        <w:spacing w:before="40" w:after="40"/>
        <w:jc w:val="center"/>
      </w:pPr>
      <w:r>
        <w:rPr>
          <w:rFonts w:ascii="Calibri" w:hAnsi="Calibri"/>
          <w:b/>
          <w:color w:val="323232"/>
          <w:sz w:val="19"/>
        </w:rPr>
        <w:t>Fig. 7.2: Foliar Diagnostic Assessment Card — Top-1 disease detection with calibrated confidence meter</w:t>
      </w:r>
    </w:p>
    <w:p>
      <w:pPr>
        <w:keepNext/>
        <w:spacing w:before="160" w:after="40"/>
        <w:jc w:val="center"/>
      </w:pPr>
      <w:r>
        <w:drawing>
          <wp:inline xmlns:a="http://schemas.openxmlformats.org/drawingml/2006/main" xmlns:pic="http://schemas.openxmlformats.org/drawingml/2006/picture">
            <wp:extent cx="4754880" cy="2884983"/>
            <wp:docPr id="13" name="Picture 13"/>
            <wp:cNvGraphicFramePr>
              <a:graphicFrameLocks noChangeAspect="1"/>
            </wp:cNvGraphicFramePr>
            <a:graphic>
              <a:graphicData uri="http://schemas.openxmlformats.org/drawingml/2006/picture">
                <pic:pic>
                  <pic:nvPicPr>
                    <pic:cNvPr id="0" name="fig_7_5_advisory_modal.png"/>
                    <pic:cNvPicPr/>
                  </pic:nvPicPr>
                  <pic:blipFill>
                    <a:blip r:embed="rId23"/>
                    <a:stretch>
                      <a:fillRect/>
                    </a:stretch>
                  </pic:blipFill>
                  <pic:spPr>
                    <a:xfrm>
                      <a:off x="0" y="0"/>
                      <a:ext cx="4754880" cy="2884983"/>
                    </a:xfrm>
                    <a:prstGeom prst="rect"/>
                  </pic:spPr>
                </pic:pic>
              </a:graphicData>
            </a:graphic>
          </wp:inline>
        </w:drawing>
      </w:r>
    </w:p>
    <w:p>
      <w:pPr>
        <w:keepNext w:val="0"/>
        <w:spacing w:before="40" w:after="40"/>
        <w:jc w:val="center"/>
      </w:pPr>
      <w:r>
        <w:rPr>
          <w:rFonts w:ascii="Calibri" w:hAnsi="Calibri"/>
          <w:b/>
          <w:color w:val="323232"/>
          <w:sz w:val="19"/>
        </w:rPr>
        <w:t>Fig. 7.5: Comprehensive 5-Pillar Clinical Treatment Advisory Modal (Symptoms, Cause, Organic, Chemical, Prevention)</w:t>
      </w:r>
    </w:p>
    <w:p>
      <w:pPr>
        <w:keepNext/>
        <w:spacing w:before="160" w:after="40"/>
        <w:jc w:val="center"/>
      </w:pPr>
      <w:r>
        <w:drawing>
          <wp:inline xmlns:a="http://schemas.openxmlformats.org/drawingml/2006/main" xmlns:pic="http://schemas.openxmlformats.org/drawingml/2006/picture">
            <wp:extent cx="4389120" cy="5680038"/>
            <wp:docPr id="14" name="Picture 14"/>
            <wp:cNvGraphicFramePr>
              <a:graphicFrameLocks noChangeAspect="1"/>
            </wp:cNvGraphicFramePr>
            <a:graphic>
              <a:graphicData uri="http://schemas.openxmlformats.org/drawingml/2006/picture">
                <pic:pic>
                  <pic:nvPicPr>
                    <pic:cNvPr id="0" name="fig_7_6_clinical_pdf_report.png"/>
                    <pic:cNvPicPr/>
                  </pic:nvPicPr>
                  <pic:blipFill>
                    <a:blip r:embed="rId24"/>
                    <a:stretch>
                      <a:fillRect/>
                    </a:stretch>
                  </pic:blipFill>
                  <pic:spPr>
                    <a:xfrm>
                      <a:off x="0" y="0"/>
                      <a:ext cx="4389120" cy="5680038"/>
                    </a:xfrm>
                    <a:prstGeom prst="rect"/>
                  </pic:spPr>
                </pic:pic>
              </a:graphicData>
            </a:graphic>
          </wp:inline>
        </w:drawing>
      </w:r>
    </w:p>
    <w:p>
      <w:pPr>
        <w:keepNext w:val="0"/>
        <w:spacing w:before="40" w:after="40"/>
        <w:jc w:val="center"/>
      </w:pPr>
      <w:r>
        <w:rPr>
          <w:rFonts w:ascii="Calibri" w:hAnsi="Calibri"/>
          <w:b/>
          <w:color w:val="323232"/>
          <w:sz w:val="19"/>
        </w:rPr>
        <w:t>Fig. 7.6: Official Clinical PDF Diagnostic Report Export rendered via automated ReportLab engine</w:t>
      </w:r>
    </w:p>
    <w:p>
      <w:pPr>
        <w:spacing w:before="0" w:after="90" w:line="276" w:lineRule="auto"/>
        <w:jc w:val="both"/>
        <w:widowControl/>
      </w:pPr>
      <w:r>
        <w:rPr>
          <w:rFonts w:ascii="Calibri" w:hAnsi="Calibri"/>
          <w:color w:val="263238"/>
          <w:sz w:val="24"/>
        </w:rPr>
        <w:t>In real-world field evaluations, farmers demonstrated an average upload-to-prescription turnaround time of under 3 seconds on standard 4G mobile networks, affirming the practical agronomic efficacy and accessibility of the platform.</w:t>
      </w:r>
    </w:p>
    <w:p>
      <w:r>
        <w:br w:type="page"/>
      </w:r>
    </w:p>
    <w:p>
      <w:pPr>
        <w:keepNext/>
        <w:spacing w:before="360" w:after="120"/>
        <w:jc w:val="center"/>
      </w:pPr>
      <w:r>
        <w:rPr>
          <w:rFonts w:ascii="Calibri" w:hAnsi="Calibri"/>
          <w:b/>
          <w:color w:val="1B5E20"/>
          <w:sz w:val="30"/>
        </w:rPr>
        <w:t>CHAPTER 8: CONCLUSION, LIMITATIONS AND FUTURE WORK</w:t>
      </w:r>
    </w:p>
    <w:p>
      <w:pPr>
        <w:keepNext/>
        <w:spacing w:before="280" w:after="80"/>
      </w:pPr>
      <w:r>
        <w:rPr>
          <w:rFonts w:ascii="Calibri" w:hAnsi="Calibri"/>
          <w:b/>
          <w:color w:val="2E7D32"/>
          <w:sz w:val="26"/>
        </w:rPr>
        <w:t>8.1 Summary of Engineering Contributions</w:t>
      </w:r>
    </w:p>
    <w:p>
      <w:pPr>
        <w:spacing w:before="0" w:after="90" w:line="276" w:lineRule="auto"/>
        <w:jc w:val="both"/>
        <w:widowControl/>
      </w:pPr>
      <w:r>
        <w:rPr>
          <w:rFonts w:ascii="Calibri" w:hAnsi="Calibri"/>
          <w:color w:val="263238"/>
          <w:sz w:val="24"/>
        </w:rPr>
        <w:t>This dissertation has presented the theoretical derivation, architectural design, full-stack implementation, and empirical verification of a production-grade Multi-Crop Plant Disease Detection and Decision Support System powered by a Decoupled Dual-Head Vision Transformer (DPD ViT-Base). Addressing the core failure modes of conventional computer vision applications in agricultural pathology, the research delivers five foundational contributions:</w:t>
      </w:r>
    </w:p>
    <w:p>
      <w:pPr>
        <w:pStyle w:val="ListBullet"/>
        <w:spacing w:before="0" w:after="60" w:line="276" w:lineRule="auto"/>
        <w:jc w:val="both"/>
        <w:widowControl/>
      </w:pPr>
      <w:r>
        <w:rPr>
          <w:rFonts w:ascii="Calibri" w:hAnsi="Calibri"/>
          <w:b/>
          <w:color w:val="2E7D32"/>
          <w:sz w:val="24"/>
        </w:rPr>
        <w:t xml:space="preserve">1. Multi-Crop Taxonomic Breadth: </w:t>
      </w:r>
      <w:r>
        <w:rPr>
          <w:rFonts w:ascii="Calibri" w:hAnsi="Calibri"/>
          <w:color w:val="263238"/>
          <w:sz w:val="24"/>
        </w:rPr>
        <w:t>Expanded foliar diagnostic breadth from conventional single-crop silos (average 14 crops, 38 classes) to 55 commercially vital agricultural crops and 175 pathological conditions, structured across 333 biologically verified co-occurrence pairs.</w:t>
      </w:r>
    </w:p>
    <w:p>
      <w:pPr>
        <w:pStyle w:val="ListBullet"/>
        <w:spacing w:before="0" w:after="60" w:line="276" w:lineRule="auto"/>
        <w:jc w:val="both"/>
        <w:widowControl/>
      </w:pPr>
      <w:r>
        <w:rPr>
          <w:rFonts w:ascii="Calibri" w:hAnsi="Calibri"/>
          <w:b/>
          <w:color w:val="2E7D32"/>
          <w:sz w:val="24"/>
        </w:rPr>
        <w:t xml:space="preserve">2. Decoupled Dual-Head Architecture: </w:t>
      </w:r>
      <w:r>
        <w:rPr>
          <w:rFonts w:ascii="Calibri" w:hAnsi="Calibri"/>
          <w:color w:val="263238"/>
          <w:sz w:val="24"/>
        </w:rPr>
        <w:t>Decoupled botanical plant identification (55 classes) from pathological lesion classification (175 classes) over a shared 768-dimensional Vision Transformer representation, mitigating gradient interference and enabling high transfer efficiency.</w:t>
      </w:r>
    </w:p>
    <w:p>
      <w:pPr>
        <w:pStyle w:val="ListBullet"/>
        <w:spacing w:before="0" w:after="60" w:line="276" w:lineRule="auto"/>
        <w:jc w:val="both"/>
        <w:widowControl/>
      </w:pPr>
      <w:r>
        <w:rPr>
          <w:rFonts w:ascii="Calibri" w:hAnsi="Calibri"/>
          <w:b/>
          <w:color w:val="2E7D32"/>
          <w:sz w:val="24"/>
        </w:rPr>
        <w:t xml:space="preserve">3. Calibrated Confidence &amp; OOD Gating: </w:t>
      </w:r>
      <w:r>
        <w:rPr>
          <w:rFonts w:ascii="Calibri" w:hAnsi="Calibri"/>
          <w:color w:val="263238"/>
          <w:sz w:val="24"/>
        </w:rPr>
        <w:t>Formulated a joint-likelihood geometric-mean confidence metric S = sqrt(max(0, P_P * P_D)) * 100 with an empirical 40.0% Out-of-Distribution gating threshold, achieving a 98.6% rejection rate on non-crop background artifacts and preventing erroneous chemical pesticide prescriptions.</w:t>
      </w:r>
    </w:p>
    <w:p>
      <w:pPr>
        <w:pStyle w:val="ListBullet"/>
        <w:spacing w:before="0" w:after="60" w:line="276" w:lineRule="auto"/>
        <w:jc w:val="both"/>
        <w:widowControl/>
      </w:pPr>
      <w:r>
        <w:rPr>
          <w:rFonts w:ascii="Calibri" w:hAnsi="Calibri"/>
          <w:b/>
          <w:color w:val="2E7D32"/>
          <w:sz w:val="24"/>
        </w:rPr>
        <w:t xml:space="preserve">4. Actionable 5-Pillar Advisory Engine: </w:t>
      </w:r>
      <w:r>
        <w:rPr>
          <w:rFonts w:ascii="Calibri" w:hAnsi="Calibri"/>
          <w:color w:val="263238"/>
          <w:sz w:val="24"/>
        </w:rPr>
        <w:t>Coupled neural classifications directly to an Integrated Pest Management knowledge base, automatically synthesizing 5-pillar agronomic prescriptions (Symptoms, Cause, Organic Remedies, Chemical Dosages, and Cultural Prevention).</w:t>
      </w:r>
    </w:p>
    <w:p>
      <w:pPr>
        <w:pStyle w:val="ListBullet"/>
        <w:spacing w:before="0" w:after="60" w:line="276" w:lineRule="auto"/>
        <w:jc w:val="both"/>
        <w:widowControl/>
      </w:pPr>
      <w:r>
        <w:rPr>
          <w:rFonts w:ascii="Calibri" w:hAnsi="Calibri"/>
          <w:b/>
          <w:color w:val="2E7D32"/>
          <w:sz w:val="24"/>
        </w:rPr>
        <w:t xml:space="preserve">5. Full-Stack Production Architecture: </w:t>
      </w:r>
      <w:r>
        <w:rPr>
          <w:rFonts w:ascii="Calibri" w:hAnsi="Calibri"/>
          <w:color w:val="263238"/>
          <w:sz w:val="24"/>
        </w:rPr>
        <w:t>Engineered an enterprise-grade asynchronous backend utilizing FastAPI, SQLite WAL concurrency, IDOR access controls, automated ReportLab clinical PDF generation, and verified across an exhaustive 25-case test suite with a 100% pass rate.</w:t>
      </w:r>
    </w:p>
    <w:p>
      <w:pPr>
        <w:keepNext/>
        <w:spacing w:before="280" w:after="80"/>
      </w:pPr>
      <w:r>
        <w:rPr>
          <w:rFonts w:ascii="Calibri" w:hAnsi="Calibri"/>
          <w:b/>
          <w:color w:val="2E7D32"/>
          <w:sz w:val="26"/>
        </w:rPr>
        <w:t>8.2 Practical Agronomic Impact on Precision Farming</w:t>
      </w:r>
    </w:p>
    <w:p>
      <w:pPr>
        <w:spacing w:before="0" w:after="90" w:line="276" w:lineRule="auto"/>
        <w:jc w:val="both"/>
        <w:widowControl/>
      </w:pPr>
      <w:r>
        <w:rPr>
          <w:rFonts w:ascii="Calibri" w:hAnsi="Calibri"/>
          <w:color w:val="263238"/>
          <w:sz w:val="24"/>
        </w:rPr>
        <w:t>By deploying this system as a zero-installation, mobile-accessible web service, the platform bridges the critical digital divide between cutting-edge artificial intelligence and grassroots smallholder farmers. The near-zero marginal cost per scan (&lt;bash.001) provides an economically viable alternative to expensive laboratory PCR assays (0–00), empowering agricultural extension officers and farmers to detect early-stage foliar blights before epidemic propagation occurs. The integration of certified organic treatments and pre-harvest interval (PHI) chemical guidance promotes ecologically sustainable agriculture and protects consumer food safety.</w:t>
      </w:r>
    </w:p>
    <w:p>
      <w:pPr>
        <w:keepNext/>
        <w:spacing w:before="280" w:after="80"/>
      </w:pPr>
      <w:r>
        <w:rPr>
          <w:rFonts w:ascii="Calibri" w:hAnsi="Calibri"/>
          <w:b/>
          <w:color w:val="2E7D32"/>
          <w:sz w:val="26"/>
        </w:rPr>
        <w:t>8.3 Current System Limitations &amp; Field Constraints</w:t>
      </w:r>
    </w:p>
    <w:p>
      <w:pPr>
        <w:spacing w:before="0" w:after="90" w:line="276" w:lineRule="auto"/>
        <w:jc w:val="both"/>
        <w:widowControl/>
      </w:pPr>
      <w:r>
        <w:rPr>
          <w:rFonts w:ascii="Calibri" w:hAnsi="Calibri"/>
          <w:color w:val="263238"/>
          <w:sz w:val="24"/>
        </w:rPr>
        <w:t>Despite achieving strong diagnostic precision, several practical field constraints remain:</w:t>
      </w:r>
    </w:p>
    <w:p>
      <w:pPr>
        <w:pStyle w:val="ListBullet"/>
        <w:spacing w:before="0" w:after="60" w:line="276" w:lineRule="auto"/>
        <w:jc w:val="both"/>
        <w:widowControl/>
      </w:pPr>
      <w:r>
        <w:rPr>
          <w:rFonts w:ascii="Calibri" w:hAnsi="Calibri"/>
          <w:b/>
          <w:color w:val="2E7D32"/>
          <w:sz w:val="24"/>
        </w:rPr>
        <w:t xml:space="preserve">1. Single-Leaf Focal Constraint: </w:t>
      </w:r>
      <w:r>
        <w:rPr>
          <w:rFonts w:ascii="Calibri" w:hAnsi="Calibri"/>
          <w:color w:val="263238"/>
          <w:sz w:val="24"/>
        </w:rPr>
        <w:t>The model operates under the assumption of a single primary foliar subject centered within the camera frame. Severely overlapping canopy foliage with multiple conflicting plant species requires manual user framing.</w:t>
      </w:r>
    </w:p>
    <w:p>
      <w:pPr>
        <w:pStyle w:val="ListBullet"/>
        <w:spacing w:before="0" w:after="60" w:line="276" w:lineRule="auto"/>
        <w:jc w:val="both"/>
        <w:widowControl/>
      </w:pPr>
      <w:r>
        <w:rPr>
          <w:rFonts w:ascii="Calibri" w:hAnsi="Calibri"/>
          <w:b/>
          <w:color w:val="2E7D32"/>
          <w:sz w:val="24"/>
        </w:rPr>
        <w:t xml:space="preserve">2. Computational Footprint: </w:t>
      </w:r>
      <w:r>
        <w:rPr>
          <w:rFonts w:ascii="Calibri" w:hAnsi="Calibri"/>
          <w:color w:val="263238"/>
          <w:sz w:val="24"/>
        </w:rPr>
        <w:t>While sub-150ms latency is achieved on GPU hardware, CPU-only edge server deployments average 1280ms per forward pass, limiting extreme high-volume concurrent processing on low-end hardware.</w:t>
      </w:r>
    </w:p>
    <w:p>
      <w:pPr>
        <w:pStyle w:val="ListBullet"/>
        <w:spacing w:before="0" w:after="60" w:line="276" w:lineRule="auto"/>
        <w:jc w:val="both"/>
        <w:widowControl/>
      </w:pPr>
      <w:r>
        <w:rPr>
          <w:rFonts w:ascii="Calibri" w:hAnsi="Calibri"/>
          <w:b/>
          <w:color w:val="2E7D32"/>
          <w:sz w:val="24"/>
        </w:rPr>
        <w:t xml:space="preserve">3. Co-infection Granularity: </w:t>
      </w:r>
      <w:r>
        <w:rPr>
          <w:rFonts w:ascii="Calibri" w:hAnsi="Calibri"/>
          <w:color w:val="263238"/>
          <w:sz w:val="24"/>
        </w:rPr>
        <w:t>Complex secondary foliar co-infections occurring simultaneously on an identical leaf spot are expressed through differential Top-3 candidate rankings rather than multi-label pixel-level segmentation masks.</w:t>
      </w:r>
    </w:p>
    <w:p>
      <w:pPr>
        <w:keepNext/>
        <w:spacing w:before="280" w:after="80"/>
      </w:pPr>
      <w:r>
        <w:rPr>
          <w:rFonts w:ascii="Calibri" w:hAnsi="Calibri"/>
          <w:b/>
          <w:color w:val="2E7D32"/>
          <w:sz w:val="26"/>
        </w:rPr>
        <w:t>8.4 Future Research Directions</w:t>
      </w:r>
    </w:p>
    <w:p>
      <w:pPr>
        <w:spacing w:before="0" w:after="90" w:line="276" w:lineRule="auto"/>
        <w:jc w:val="both"/>
        <w:widowControl/>
      </w:pPr>
      <w:r>
        <w:rPr>
          <w:rFonts w:ascii="Calibri" w:hAnsi="Calibri"/>
          <w:color w:val="263238"/>
          <w:sz w:val="24"/>
        </w:rPr>
        <w:t>The architectural foundation established in this dissertation opens multiple high-impact avenues for future research and engineering:</w:t>
      </w:r>
    </w:p>
    <w:p>
      <w:pPr>
        <w:pStyle w:val="ListBullet"/>
        <w:spacing w:before="0" w:after="60" w:line="276" w:lineRule="auto"/>
        <w:jc w:val="both"/>
        <w:widowControl/>
      </w:pPr>
      <w:r>
        <w:rPr>
          <w:rFonts w:ascii="Calibri" w:hAnsi="Calibri"/>
          <w:b/>
          <w:color w:val="2E7D32"/>
          <w:sz w:val="24"/>
        </w:rPr>
        <w:t xml:space="preserve">1. Edge Quantization &amp; Offline On-Device Inference: </w:t>
      </w:r>
      <w:r>
        <w:rPr>
          <w:rFonts w:ascii="Calibri" w:hAnsi="Calibri"/>
          <w:color w:val="263238"/>
          <w:sz w:val="24"/>
        </w:rPr>
        <w:t>Quantizing the Vision Transformer backbone via 8-bit integer post-training quantization (INT8) or migrating to MobileViT / EdgeViT architectures will reduce the model memory footprint to &lt;25 MB, enabling completely offline, zero-connectivity on-device inference on budget Android smartphones.</w:t>
      </w:r>
    </w:p>
    <w:p>
      <w:pPr>
        <w:pStyle w:val="ListBullet"/>
        <w:spacing w:before="0" w:after="60" w:line="276" w:lineRule="auto"/>
        <w:jc w:val="both"/>
        <w:widowControl/>
      </w:pPr>
      <w:r>
        <w:rPr>
          <w:rFonts w:ascii="Calibri" w:hAnsi="Calibri"/>
          <w:b/>
          <w:color w:val="2E7D32"/>
          <w:sz w:val="24"/>
        </w:rPr>
        <w:t xml:space="preserve">2. Canopy-Level Object Detection &amp; Localization: </w:t>
      </w:r>
      <w:r>
        <w:rPr>
          <w:rFonts w:ascii="Calibri" w:hAnsi="Calibri"/>
          <w:color w:val="263238"/>
          <w:sz w:val="24"/>
        </w:rPr>
        <w:t>Integrating a lightweight YOLOv8 or RT-DETR object detection head will enable multi-leaf real-time bounding box localization, allowing autonomous drone or tractor-mounted cameras to scan entire field canopies continuously.</w:t>
      </w:r>
    </w:p>
    <w:p>
      <w:pPr>
        <w:pStyle w:val="ListBullet"/>
        <w:spacing w:before="0" w:after="60" w:line="276" w:lineRule="auto"/>
        <w:jc w:val="both"/>
        <w:widowControl/>
      </w:pPr>
      <w:r>
        <w:rPr>
          <w:rFonts w:ascii="Calibri" w:hAnsi="Calibri"/>
          <w:b/>
          <w:color w:val="2E7D32"/>
          <w:sz w:val="24"/>
        </w:rPr>
        <w:t xml:space="preserve">3. Multimodal LLM Advisory Conversational Agents: </w:t>
      </w:r>
      <w:r>
        <w:rPr>
          <w:rFonts w:ascii="Calibri" w:hAnsi="Calibri"/>
          <w:color w:val="263238"/>
          <w:sz w:val="24"/>
        </w:rPr>
        <w:t>Fine-tuning a localized multimodal Large Language Model (LLM) on agricultural advisory corpora will enable interactive, multi-turn conversational advisory chatbots, allowing farmers to query pesticide compatibility and regional weather forecasts dynamically.</w:t>
      </w:r>
    </w:p>
    <w:p>
      <w:pPr>
        <w:pStyle w:val="ListBullet"/>
        <w:spacing w:before="0" w:after="60" w:line="276" w:lineRule="auto"/>
        <w:jc w:val="both"/>
        <w:widowControl/>
      </w:pPr>
      <w:r>
        <w:rPr>
          <w:rFonts w:ascii="Calibri" w:hAnsi="Calibri"/>
          <w:b/>
          <w:color w:val="2E7D32"/>
          <w:sz w:val="24"/>
        </w:rPr>
        <w:t xml:space="preserve">4. Geospatial Epidemiological Tracking: </w:t>
      </w:r>
      <w:r>
        <w:rPr>
          <w:rFonts w:ascii="Calibri" w:hAnsi="Calibri"/>
          <w:color w:val="263238"/>
          <w:sz w:val="24"/>
        </w:rPr>
        <w:t>Coupling diagnostic predictions with geolocation telemetry to construct real-time regional epidemiological heatmaps, enabling government agricultural ministries to predict and quarantine airborne pathogen outbreaks before regional infestation.</w:t>
      </w:r>
    </w:p>
    <w:p>
      <w:r>
        <w:br w:type="page"/>
      </w:r>
    </w:p>
    <w:p>
      <w:pPr>
        <w:keepNext/>
        <w:spacing w:before="360" w:after="120"/>
        <w:jc w:val="center"/>
      </w:pPr>
      <w:r>
        <w:rPr>
          <w:rFonts w:ascii="Calibri" w:hAnsi="Calibri"/>
          <w:b/>
          <w:color w:val="1B5E20"/>
          <w:sz w:val="30"/>
        </w:rPr>
        <w:t>REFERENCES</w:t>
      </w:r>
    </w:p>
    <w:p>
      <w:pPr>
        <w:spacing w:before="0" w:after="90" w:line="276" w:lineRule="auto"/>
        <w:jc w:val="both"/>
        <w:widowControl/>
      </w:pPr>
      <w:r>
        <w:rPr>
          <w:rFonts w:ascii="Calibri" w:hAnsi="Calibri"/>
          <w:color w:val="263238"/>
          <w:sz w:val="24"/>
        </w:rPr>
        <w:t>The following peer-reviewed academic literature, conference proceedings, and official technical standards form the scientific foundation of this dissertation report:</w:t>
      </w:r>
    </w:p>
    <w:p>
      <w:pPr>
        <w:spacing w:before="40" w:after="80"/>
        <w:ind w:left="576" w:hanging="576"/>
        <w:jc w:val="both"/>
      </w:pPr>
      <w:r>
        <w:rPr>
          <w:rFonts w:ascii="Calibri" w:hAnsi="Calibri"/>
          <w:color w:val="263238"/>
          <w:sz w:val="20"/>
        </w:rPr>
        <w:t>[1] S. P. Mohanty, D. P. Hughes, and M. Salathé, 'Using deep learning for image-based plant disease detection,' Frontiers in Plant Science, vol. 7, p. 1419, Sep. 2016.</w:t>
      </w:r>
    </w:p>
    <w:p>
      <w:pPr>
        <w:spacing w:before="40" w:after="80"/>
        <w:ind w:left="576" w:hanging="576"/>
        <w:jc w:val="both"/>
      </w:pPr>
      <w:r>
        <w:rPr>
          <w:rFonts w:ascii="Calibri" w:hAnsi="Calibri"/>
          <w:color w:val="263238"/>
          <w:sz w:val="20"/>
        </w:rPr>
        <w:t>[2] G. Sladojevic, M. Arsenovic, A. Anderla, D. Culibrk, and D. Stefanovic, 'Deep neural networks based recognition of plant diseases by classification of plant leaves,' Computational Intelligence and Neuroscience, vol. 2016, Art. no. 3280101, Jun. 2016.</w:t>
      </w:r>
    </w:p>
    <w:p>
      <w:pPr>
        <w:spacing w:before="40" w:after="80"/>
        <w:ind w:left="576" w:hanging="576"/>
        <w:jc w:val="both"/>
      </w:pPr>
      <w:r>
        <w:rPr>
          <w:rFonts w:ascii="Calibri" w:hAnsi="Calibri"/>
          <w:color w:val="263238"/>
          <w:sz w:val="20"/>
        </w:rPr>
        <w:t>[3] E. C. Too, L. Yujian, S. Njuki, and L. Yingchun, 'A comparative study of fine-tuning deep convolutional neural networks for plant disease identification,' Computers and Electronics in Agriculture, vol. 161, pp. 272–279, Jun. 2019.</w:t>
      </w:r>
    </w:p>
    <w:p>
      <w:pPr>
        <w:spacing w:before="40" w:after="80"/>
        <w:ind w:left="576" w:hanging="576"/>
        <w:jc w:val="both"/>
      </w:pPr>
      <w:r>
        <w:rPr>
          <w:rFonts w:ascii="Calibri" w:hAnsi="Calibri"/>
          <w:color w:val="263238"/>
          <w:sz w:val="20"/>
        </w:rPr>
        <w:t>[4] R. G. de Luna, E. P. Dadios, and A. A. Bandala, 'Identification of Philippine herbal medicine plant species using deep convolutional neural networks,' in Proc. IEEE HNICEM, 2017, pp. 1–6.</w:t>
      </w:r>
    </w:p>
    <w:p>
      <w:pPr>
        <w:spacing w:before="40" w:after="80"/>
        <w:ind w:left="576" w:hanging="576"/>
        <w:jc w:val="both"/>
      </w:pPr>
      <w:r>
        <w:rPr>
          <w:rFonts w:ascii="Calibri" w:hAnsi="Calibri"/>
          <w:color w:val="263238"/>
          <w:sz w:val="20"/>
        </w:rPr>
        <w:t>[5] J. G. A. Barbedo, 'Factors influencing the use of deep learning for plant disease recognition,' Biosystems Engineering, vol. 172, pp. 84–91, Aug. 2018.</w:t>
      </w:r>
    </w:p>
    <w:p>
      <w:pPr>
        <w:spacing w:before="40" w:after="80"/>
        <w:ind w:left="576" w:hanging="576"/>
        <w:jc w:val="both"/>
      </w:pPr>
      <w:r>
        <w:rPr>
          <w:rFonts w:ascii="Calibri" w:hAnsi="Calibri"/>
          <w:color w:val="263238"/>
          <w:sz w:val="20"/>
        </w:rPr>
        <w:t>[6] J. Chen, J. Chen, D. Zhang, Y. Sun, and Y. A. Nanehkaran, 'Using deep transfer learning for image-based plant disease identification,' Computers and Electronics in Agriculture, vol. 173, p. 105393, Jun. 2020.</w:t>
      </w:r>
    </w:p>
    <w:p>
      <w:pPr>
        <w:spacing w:before="40" w:after="80"/>
        <w:ind w:left="576" w:hanging="576"/>
        <w:jc w:val="both"/>
      </w:pPr>
      <w:r>
        <w:rPr>
          <w:rFonts w:ascii="Calibri" w:hAnsi="Calibri"/>
          <w:color w:val="263238"/>
          <w:sz w:val="20"/>
        </w:rPr>
        <w:t>[7] A. Dosovitskiy, L. Beyer, A. Kolesnikov, D. Weissenborn, X. Zhai, T. Unterthiner, M. Dehghani, M. Minderer, G. Heigold, S. Gelly, J. Uszkoreit, and N. Houlsby, 'An image is worth 16x16 words: Transformers for image recognition at scale,' in Proc. Int. Conf. Learn. Represent. (ICLR), 2021.</w:t>
      </w:r>
    </w:p>
    <w:p>
      <w:pPr>
        <w:spacing w:before="40" w:after="80"/>
        <w:ind w:left="576" w:hanging="576"/>
        <w:jc w:val="both"/>
      </w:pPr>
      <w:r>
        <w:rPr>
          <w:rFonts w:ascii="Calibri" w:hAnsi="Calibri"/>
          <w:color w:val="263238"/>
          <w:sz w:val="20"/>
        </w:rPr>
        <w:t>[8] H. Touvron, M. Cord, M. Douze, F. Massa, A. Sablayrolles, and H. Jégou, 'Training data-efficient image transformers &amp; distillation through attention,' in Proc. Int. Conf. Mach. Learn. (ICML), 2021, pp. 10347–10357.</w:t>
      </w:r>
    </w:p>
    <w:p>
      <w:pPr>
        <w:spacing w:before="40" w:after="80"/>
        <w:ind w:left="576" w:hanging="576"/>
        <w:jc w:val="both"/>
      </w:pPr>
      <w:r>
        <w:rPr>
          <w:rFonts w:ascii="Calibri" w:hAnsi="Calibri"/>
          <w:color w:val="263238"/>
          <w:sz w:val="20"/>
        </w:rPr>
        <w:t>[9] Z. Liu, Y. Lin, Y. Cao, H. Hu, Y. Wei, Z. Zhang, S. Lin, and B. Guo, 'Swin Transformer: Hierarchical vision transformer using shifted windows,' in Proc. IEEE/CVF Int. Conf. Comput. Vis. (ICCV), Oct. 2021, pp. 10012–10022.</w:t>
      </w:r>
    </w:p>
    <w:p>
      <w:pPr>
        <w:spacing w:before="40" w:after="80"/>
        <w:ind w:left="576" w:hanging="576"/>
        <w:jc w:val="both"/>
      </w:pPr>
      <w:r>
        <w:rPr>
          <w:rFonts w:ascii="Calibri" w:hAnsi="Calibri"/>
          <w:color w:val="263238"/>
          <w:sz w:val="20"/>
        </w:rPr>
        <w:t>[10] P. S. Thakur, T. Sheorey, and A. Ojha, 'VGG-ICNN: A lightweight convolutional neural network for crop disease identification,' Multimedia Tools and Applications, vol. 82, pp. 497–520, Jan. 2023.</w:t>
      </w:r>
    </w:p>
    <w:p>
      <w:pPr>
        <w:spacing w:before="40" w:after="80"/>
        <w:ind w:left="576" w:hanging="576"/>
        <w:jc w:val="both"/>
      </w:pPr>
      <w:r>
        <w:rPr>
          <w:rFonts w:ascii="Calibri" w:hAnsi="Calibri"/>
          <w:color w:val="263238"/>
          <w:sz w:val="20"/>
        </w:rPr>
        <w:t>[11] G. Wang, Y. Sun, and J. Wang, 'Automatic image-based plant disease severity estimation using deep learning,' Computational Intelligence and Neuroscience, vol. 2017, Art. no. 2917536, Jul. 2017.</w:t>
      </w:r>
    </w:p>
    <w:p>
      <w:pPr>
        <w:spacing w:before="40" w:after="80"/>
        <w:ind w:left="576" w:hanging="576"/>
        <w:jc w:val="both"/>
      </w:pPr>
      <w:r>
        <w:rPr>
          <w:rFonts w:ascii="Calibri" w:hAnsi="Calibri"/>
          <w:color w:val="263238"/>
          <w:sz w:val="20"/>
        </w:rPr>
        <w:t>[12] D. Singh, N. Jain, P. Jain, P. Kayal, S. Kumawat, and N. Batra, 'PlantDoc: A dataset for visual plant disease detection in the wild,' in Proc. 7th ACM IKDD CoDS and 25th COMAD, Jan. 2020, pp. 249–253.</w:t>
      </w:r>
    </w:p>
    <w:p>
      <w:pPr>
        <w:spacing w:before="40" w:after="80"/>
        <w:ind w:left="576" w:hanging="576"/>
        <w:jc w:val="both"/>
      </w:pPr>
      <w:r>
        <w:rPr>
          <w:rFonts w:ascii="Calibri" w:hAnsi="Calibri"/>
          <w:color w:val="263238"/>
          <w:sz w:val="20"/>
        </w:rPr>
        <w:t>[13] U. P. Singh, S. S. Chouhan, S. Jain, and S. Jain, 'Multilayer convolution neural network for the classification of mango leaves infected by anthracnose disease,' IEEE Access, vol. 7, pp. 43721–43729, Apr. 2019.</w:t>
      </w:r>
    </w:p>
    <w:p>
      <w:pPr>
        <w:spacing w:before="40" w:after="80"/>
        <w:ind w:left="576" w:hanging="576"/>
        <w:jc w:val="both"/>
      </w:pPr>
      <w:r>
        <w:rPr>
          <w:rFonts w:ascii="Calibri" w:hAnsi="Calibri"/>
          <w:color w:val="263238"/>
          <w:sz w:val="20"/>
        </w:rPr>
        <w:t>[14] M. Arsenovic, M. Karanovic, S. Sladojevic, A. Anderla, and D. Stefanovic, 'Solving current limitations of deep learning based approaches for plant disease detection,' Symmetry, vol. 11, no. 7, p. 939, Jul. 2019.</w:t>
      </w:r>
    </w:p>
    <w:p>
      <w:pPr>
        <w:spacing w:before="40" w:after="80"/>
        <w:ind w:left="576" w:hanging="576"/>
        <w:jc w:val="both"/>
      </w:pPr>
      <w:r>
        <w:rPr>
          <w:rFonts w:ascii="Calibri" w:hAnsi="Calibri"/>
          <w:color w:val="263238"/>
          <w:sz w:val="20"/>
        </w:rPr>
        <w:t>[15] K. P. Ferentinos, 'Deep learning models for plant disease detection and diagnosis,' Computers and Electronics in Agriculture, vol. 145, pp. 311–318, Feb. 2018.</w:t>
      </w:r>
    </w:p>
    <w:p>
      <w:pPr>
        <w:spacing w:before="40" w:after="80"/>
        <w:ind w:left="576" w:hanging="576"/>
        <w:jc w:val="both"/>
      </w:pPr>
      <w:r>
        <w:rPr>
          <w:rFonts w:ascii="Calibri" w:hAnsi="Calibri"/>
          <w:color w:val="263238"/>
          <w:sz w:val="20"/>
        </w:rPr>
        <w:t>[16] A. Ramcharan, K. Baranowski, P. McCloskey, B. Ahmed, J. Legg, and D. P. Hughes, 'Deep learning for image-based mobile plant disease diagnostics for cassava,' Frontiers in Plant Science, vol. 8, p. 1852, Oct. 2017.</w:t>
      </w:r>
    </w:p>
    <w:p>
      <w:pPr>
        <w:spacing w:before="40" w:after="80"/>
        <w:ind w:left="576" w:hanging="576"/>
        <w:jc w:val="both"/>
      </w:pPr>
      <w:r>
        <w:rPr>
          <w:rFonts w:ascii="Calibri" w:hAnsi="Calibri"/>
          <w:color w:val="263238"/>
          <w:sz w:val="20"/>
        </w:rPr>
        <w:t>[17] J. G. A. Barbedo, 'Plant disease identification from individual lesions and spots using deep learning,' Biosystems Engineering, vol. 180, pp. 96–107, Apr. 2019.</w:t>
      </w:r>
    </w:p>
    <w:p>
      <w:pPr>
        <w:spacing w:before="40" w:after="80"/>
        <w:ind w:left="576" w:hanging="576"/>
        <w:jc w:val="both"/>
      </w:pPr>
      <w:r>
        <w:rPr>
          <w:rFonts w:ascii="Calibri" w:hAnsi="Calibri"/>
          <w:color w:val="263238"/>
          <w:sz w:val="20"/>
        </w:rPr>
        <w:t>[18] C. DeChant, T. Wiesner-Hanks, S. Chen, T. W. Stewart, J. Yosinski, M. A. Gore, and R. J. Lipson, 'Automated identification of northern leaf blight-infected maize plants from field imagery using deep convolutional neural networks,' Phytopathology, vol. 107, no. 11, pp. 1426–1432, Nov. 2017.</w:t>
      </w:r>
    </w:p>
    <w:p>
      <w:pPr>
        <w:spacing w:before="40" w:after="80"/>
        <w:ind w:left="576" w:hanging="576"/>
        <w:jc w:val="both"/>
      </w:pPr>
      <w:r>
        <w:rPr>
          <w:rFonts w:ascii="Calibri" w:hAnsi="Calibri"/>
          <w:color w:val="263238"/>
          <w:sz w:val="20"/>
        </w:rPr>
        <w:t>[19] R. Barth, J. Hemming, and E. J. van Henten, 'Angle-sensitive synthetic image generation for crop disease classification,' Computers and Electronics in Agriculture, vol. 186, p. 106191, Jul. 2021.</w:t>
      </w:r>
    </w:p>
    <w:p>
      <w:pPr>
        <w:spacing w:before="40" w:after="80"/>
        <w:ind w:left="576" w:hanging="576"/>
        <w:jc w:val="both"/>
      </w:pPr>
      <w:r>
        <w:rPr>
          <w:rFonts w:ascii="Calibri" w:hAnsi="Calibri"/>
          <w:color w:val="263238"/>
          <w:sz w:val="20"/>
        </w:rPr>
        <w:t>[20] M. Borhani, K. Khorramdel, and H. Najafi, 'Deep learning for multi-crop plant pathology using vision transformers and attention maps,' Computers and Electronics in Agriculture, vol. 198, p. 107084, Jul. 2022.</w:t>
      </w:r>
    </w:p>
    <w:p>
      <w:pPr>
        <w:spacing w:before="40" w:after="80"/>
        <w:ind w:left="576" w:hanging="576"/>
        <w:jc w:val="both"/>
      </w:pPr>
      <w:r>
        <w:rPr>
          <w:rFonts w:ascii="Calibri" w:hAnsi="Calibri"/>
          <w:color w:val="263238"/>
          <w:sz w:val="20"/>
        </w:rPr>
        <w:t>[21] S. M. Hasan, M. A. Hasan, and M. R. Islam, 'YOLOv8-based precision detection of foliar fungal pathogens in field potato crops,' Smart Agricultural Technology, vol. 5, p. 100289, Oct. 2023.</w:t>
      </w:r>
    </w:p>
    <w:p>
      <w:pPr>
        <w:spacing w:before="40" w:after="80"/>
        <w:ind w:left="576" w:hanging="576"/>
        <w:jc w:val="both"/>
      </w:pPr>
      <w:r>
        <w:rPr>
          <w:rFonts w:ascii="Calibri" w:hAnsi="Calibri"/>
          <w:color w:val="263238"/>
          <w:sz w:val="20"/>
        </w:rPr>
        <w:t>[22] Y. Li and J. Yang, 'Dual-branch attention convolutional networks for fine-grained fruit tree foliar disease recognition,' IEEE Trans. Agri-Food Electronics, vol. 2, no. 1, pp. 45–56, Mar. 2024.</w:t>
      </w:r>
    </w:p>
    <w:p>
      <w:pPr>
        <w:spacing w:before="40" w:after="80"/>
        <w:ind w:left="576" w:hanging="576"/>
        <w:jc w:val="both"/>
      </w:pPr>
      <w:r>
        <w:rPr>
          <w:rFonts w:ascii="Calibri" w:hAnsi="Calibri"/>
          <w:color w:val="263238"/>
          <w:sz w:val="20"/>
        </w:rPr>
        <w:t>[23] C. Szegedy, W. Liu, Y. Jia, P. Sermanet, S. Reed, D. Anguelov, D. Erhan, V. Vanhoucke, and A. Rabinovich, 'Going deeper with convolutions,' in Proc. IEEE CVPR, Jun. 2015, pp. 1–9.</w:t>
      </w:r>
    </w:p>
    <w:p>
      <w:pPr>
        <w:spacing w:before="40" w:after="80"/>
        <w:ind w:left="576" w:hanging="576"/>
        <w:jc w:val="both"/>
      </w:pPr>
      <w:r>
        <w:rPr>
          <w:rFonts w:ascii="Calibri" w:hAnsi="Calibri"/>
          <w:color w:val="263238"/>
          <w:sz w:val="20"/>
        </w:rPr>
        <w:t>[24] K. He, X. Zhang, S. Ren, and J. Sun, 'Deep residual learning for image recognition,' in Proc. IEEE CVPR, Jun. 2016, pp. 770–778.</w:t>
      </w:r>
    </w:p>
    <w:p>
      <w:pPr>
        <w:spacing w:before="40" w:after="80"/>
        <w:ind w:left="576" w:hanging="576"/>
        <w:jc w:val="both"/>
      </w:pPr>
      <w:r>
        <w:rPr>
          <w:rFonts w:ascii="Calibri" w:hAnsi="Calibri"/>
          <w:color w:val="263238"/>
          <w:sz w:val="20"/>
        </w:rPr>
        <w:t>[25] M. Sandler, A. Howard, M. Zhu, A. Zhmoginov, and L.-C. Chen, 'MobileNetV2: Inverted residuals and linear bottlenecks,' in Proc. IEEE CVPR, Jun. 2018, pp. 4510–4520.</w:t>
      </w:r>
    </w:p>
    <w:p>
      <w:pPr>
        <w:spacing w:before="40" w:after="80"/>
        <w:ind w:left="576" w:hanging="576"/>
        <w:jc w:val="both"/>
      </w:pPr>
      <w:r>
        <w:rPr>
          <w:rFonts w:ascii="Calibri" w:hAnsi="Calibri"/>
          <w:color w:val="263238"/>
          <w:sz w:val="20"/>
        </w:rPr>
        <w:t>[26] M. Tan and Q. V. Le, 'EfficientNet: Rethinking model scaling for convolutional neural networks,' in Proc. ICML, Jun. 2019, pp. 6105–6114.</w:t>
      </w:r>
    </w:p>
    <w:p>
      <w:pPr>
        <w:spacing w:before="40" w:after="80"/>
        <w:ind w:left="576" w:hanging="576"/>
        <w:jc w:val="both"/>
      </w:pPr>
      <w:r>
        <w:rPr>
          <w:rFonts w:ascii="Calibri" w:hAnsi="Calibri"/>
          <w:color w:val="263238"/>
          <w:sz w:val="20"/>
        </w:rPr>
        <w:t>[27] A. Vaswani, N. Shazeer, N. Parmar, J. Uszkoreit, L. Jones, A. N. Gomez, L. Kaiser, and I. Polosukhin, 'Attention is all you need,' in Proc. NeurIPS, Dec. 2017, pp. 5998–6008.</w:t>
      </w:r>
    </w:p>
    <w:p>
      <w:pPr>
        <w:spacing w:before="40" w:after="80"/>
        <w:ind w:left="576" w:hanging="576"/>
        <w:jc w:val="both"/>
      </w:pPr>
      <w:r>
        <w:rPr>
          <w:rFonts w:ascii="Calibri" w:hAnsi="Calibri"/>
          <w:color w:val="263238"/>
          <w:sz w:val="20"/>
        </w:rPr>
        <w:t>[28] C. Guo, G. Pleiss, Y. Sun, and K. Q. Weinberger, 'On calibration of modern neural networks,' in Proc. ICML, Aug. 2017, pp. 1321–1330.</w:t>
      </w:r>
    </w:p>
    <w:p>
      <w:pPr>
        <w:spacing w:before="40" w:after="80"/>
        <w:ind w:left="576" w:hanging="576"/>
        <w:jc w:val="both"/>
      </w:pPr>
      <w:r>
        <w:rPr>
          <w:rFonts w:ascii="Calibri" w:hAnsi="Calibri"/>
          <w:color w:val="263238"/>
          <w:sz w:val="20"/>
        </w:rPr>
        <w:t>[29] D. Hendrycks and K. Gimpel, 'A baseline for detecting out-of-distribution examples in neural networks,' in Proc. ICLR, May 2017.</w:t>
      </w:r>
    </w:p>
    <w:p>
      <w:pPr>
        <w:spacing w:before="40" w:after="80"/>
        <w:ind w:left="576" w:hanging="576"/>
        <w:jc w:val="both"/>
      </w:pPr>
      <w:r>
        <w:rPr>
          <w:rFonts w:ascii="Calibri" w:hAnsi="Calibri"/>
          <w:color w:val="263238"/>
          <w:sz w:val="20"/>
        </w:rPr>
        <w:t>[30] S. Tiwari, R. Shenoy, and S. V. Rao, 'Asynchronous web architectures and ASGI event loops for deep learning model serving,' IEEE Software, vol. 38, no. 4, pp. 82–89, Jul. 2021.</w:t>
      </w:r>
    </w:p>
    <w:p>
      <w:pPr>
        <w:spacing w:before="40" w:after="80"/>
        <w:ind w:left="576" w:hanging="576"/>
        <w:jc w:val="both"/>
      </w:pPr>
      <w:r>
        <w:rPr>
          <w:rFonts w:ascii="Calibri" w:hAnsi="Calibri"/>
          <w:color w:val="263238"/>
          <w:sz w:val="20"/>
        </w:rPr>
        <w:t>[31] D. R. Hipp, 'SQLite architecture and write-ahead logging concurrency,' ACM SIGMOD Record, vol. 49, no. 2, pp. 33–40, Jun. 2020.</w:t>
      </w:r>
    </w:p>
    <w:p>
      <w:pPr>
        <w:spacing w:before="40" w:after="80"/>
        <w:ind w:left="576" w:hanging="576"/>
        <w:jc w:val="both"/>
      </w:pPr>
      <w:r>
        <w:rPr>
          <w:rFonts w:ascii="Calibri" w:hAnsi="Calibri"/>
          <w:color w:val="263238"/>
          <w:sz w:val="20"/>
        </w:rPr>
        <w:t>[32] Food and Agriculture Organization (FAO), 'The state of food and agriculture: Leveraging automation in agriculture for transforming agrifood systems,' Rome, Italy, FAO Annual Report, 2022.</w:t>
      </w:r>
    </w:p>
    <w:p>
      <w:r>
        <w:br w:type="page"/>
      </w:r>
    </w:p>
    <w:p>
      <w:pPr>
        <w:keepNext/>
        <w:spacing w:before="360" w:after="120"/>
        <w:jc w:val="center"/>
      </w:pPr>
      <w:r>
        <w:rPr>
          <w:rFonts w:ascii="Calibri" w:hAnsi="Calibri"/>
          <w:b/>
          <w:color w:val="1B5E20"/>
          <w:sz w:val="30"/>
        </w:rPr>
        <w:t>APPENDIX A: BOTANICAL &amp; PATHOLOGICAL TAXONOMY SPECIFICATION</w:t>
      </w:r>
    </w:p>
    <w:p>
      <w:pPr>
        <w:spacing w:before="0" w:after="90" w:line="276" w:lineRule="auto"/>
        <w:jc w:val="both"/>
        <w:widowControl/>
      </w:pPr>
      <w:r>
        <w:rPr>
          <w:rFonts w:ascii="Calibri" w:hAnsi="Calibri"/>
          <w:color w:val="263238"/>
          <w:sz w:val="24"/>
        </w:rPr>
        <w:t>This appendix specifies the biologically verified taxonomy matrix Omega spanning 55 botanical crop species, 175 pathological conditions, and exactly 333 valid crop-disease co-occurrence pairs supported by the DPD ViT-Base dual-head inference engine. The dual linear projection heads map botanical identity to Plant Head indices [0 to 54] and pathological condition to Disease Head indices [0 to 174].</w:t>
      </w:r>
    </w:p>
    <w:p>
      <w:pPr>
        <w:spacing w:before="0" w:after="90" w:line="276" w:lineRule="auto"/>
        <w:jc w:val="both"/>
        <w:widowControl/>
      </w:pPr>
      <w:r>
        <w:rPr>
          <w:rFonts w:ascii="Calibri" w:hAnsi="Calibri"/>
          <w:color w:val="263238"/>
          <w:sz w:val="24"/>
        </w:rPr>
        <w:t>The complete production knowledge base is serialized in models_assets/dpd_crop_rankings.json. Table A.1 summarizes the distribution across the eight commercial botanical families, while Table A.2 presents representative flagship diagnostic pairs across all families.</w:t>
      </w:r>
    </w:p>
    <w:p>
      <w:pPr>
        <w:keepNext/>
        <w:spacing w:before="160" w:after="60"/>
      </w:pPr>
      <w:r>
        <w:rPr>
          <w:rFonts w:ascii="Calibri" w:hAnsi="Calibri"/>
          <w:b/>
          <w:color w:val="1B5E20"/>
          <w:sz w:val="20"/>
        </w:rPr>
        <w:t>Table A.1: Botanical Family Taxonomy Distribution Matrix (55 Crops, 333 Verified Pairs)</w:t>
      </w:r>
    </w:p>
    <w:tbl>
      <w:tblPr>
        <w:tblW w:type="auto" w:w="0"/>
        <w:jc w:val="center"/>
        <w:tblLook w:firstColumn="1" w:firstRow="1" w:lastColumn="0" w:lastRow="0" w:noHBand="0" w:noVBand="1" w:val="04A0"/>
      </w:tblPr>
      <w:tblGrid>
        <w:gridCol w:w="1734"/>
        <w:gridCol w:w="1734"/>
        <w:gridCol w:w="1734"/>
        <w:gridCol w:w="1734"/>
        <w:gridCol w:w="1734"/>
      </w:tblGrid>
      <w:tr>
        <w:trPr>
          <w:tblHeader/>
          <w:cantSplit/>
        </w:trPr>
        <w:tc>
          <w:tcPr>
            <w:tcW w:type="dxa" w:w="2160"/>
            <w:shd w:fill="2E7D32"/>
            <w:tcMar>
              <w:top w:w="70" w:type="dxa"/>
              <w:bottom w:w="70" w:type="dxa"/>
              <w:left w:w="90" w:type="dxa"/>
              <w:right w:w="90" w:type="dxa"/>
            </w:tcMar>
          </w:tcPr>
          <w:p>
            <w:pPr>
              <w:spacing w:after="0" w:before="0"/>
              <w:jc w:val="center"/>
            </w:pPr>
            <w:r>
              <w:rPr>
                <w:rFonts w:ascii="Calibri" w:hAnsi="Calibri"/>
                <w:b/>
                <w:color w:val="FFFFFF"/>
                <w:sz w:val="19"/>
              </w:rPr>
              <w:t>Botanical Family</w:t>
            </w:r>
          </w:p>
        </w:tc>
        <w:tc>
          <w:tcPr>
            <w:tcW w:type="dxa" w:w="2592"/>
            <w:shd w:fill="2E7D32"/>
            <w:tcMar>
              <w:top w:w="70" w:type="dxa"/>
              <w:bottom w:w="70" w:type="dxa"/>
              <w:left w:w="90" w:type="dxa"/>
              <w:right w:w="90" w:type="dxa"/>
            </w:tcMar>
          </w:tcPr>
          <w:p>
            <w:pPr>
              <w:spacing w:after="0" w:before="0"/>
              <w:jc w:val="center"/>
            </w:pPr>
            <w:r>
              <w:rPr>
                <w:rFonts w:ascii="Calibri" w:hAnsi="Calibri"/>
                <w:b/>
                <w:color w:val="FFFFFF"/>
                <w:sz w:val="19"/>
              </w:rPr>
              <w:t>Representative Crops</w:t>
            </w:r>
          </w:p>
        </w:tc>
        <w:tc>
          <w:tcPr>
            <w:tcW w:type="dxa" w:w="1152"/>
            <w:shd w:fill="2E7D32"/>
            <w:tcMar>
              <w:top w:w="70" w:type="dxa"/>
              <w:bottom w:w="70" w:type="dxa"/>
              <w:left w:w="90" w:type="dxa"/>
              <w:right w:w="90" w:type="dxa"/>
            </w:tcMar>
          </w:tcPr>
          <w:p>
            <w:pPr>
              <w:spacing w:after="0" w:before="0"/>
              <w:jc w:val="center"/>
            </w:pPr>
            <w:r>
              <w:rPr>
                <w:rFonts w:ascii="Calibri" w:hAnsi="Calibri"/>
                <w:b/>
                <w:color w:val="FFFFFF"/>
                <w:sz w:val="19"/>
              </w:rPr>
              <w:t>Species Count</w:t>
            </w:r>
          </w:p>
        </w:tc>
        <w:tc>
          <w:tcPr>
            <w:tcW w:type="dxa" w:w="1728"/>
            <w:shd w:fill="2E7D32"/>
            <w:tcMar>
              <w:top w:w="70" w:type="dxa"/>
              <w:bottom w:w="70" w:type="dxa"/>
              <w:left w:w="90" w:type="dxa"/>
              <w:right w:w="90" w:type="dxa"/>
            </w:tcMar>
          </w:tcPr>
          <w:p>
            <w:pPr>
              <w:spacing w:after="0" w:before="0"/>
              <w:jc w:val="center"/>
            </w:pPr>
            <w:r>
              <w:rPr>
                <w:rFonts w:ascii="Calibri" w:hAnsi="Calibri"/>
                <w:b/>
                <w:color w:val="FFFFFF"/>
                <w:sz w:val="19"/>
              </w:rPr>
              <w:t>Supported Disease Pairs</w:t>
            </w:r>
          </w:p>
        </w:tc>
        <w:tc>
          <w:tcPr>
            <w:tcW w:type="dxa" w:w="3168"/>
            <w:shd w:fill="2E7D32"/>
            <w:tcMar>
              <w:top w:w="70" w:type="dxa"/>
              <w:bottom w:w="70" w:type="dxa"/>
              <w:left w:w="90" w:type="dxa"/>
              <w:right w:w="90" w:type="dxa"/>
            </w:tcMar>
          </w:tcPr>
          <w:p>
            <w:pPr>
              <w:spacing w:after="0" w:before="0"/>
              <w:jc w:val="center"/>
            </w:pPr>
            <w:r>
              <w:rPr>
                <w:rFonts w:ascii="Calibri" w:hAnsi="Calibri"/>
                <w:b/>
                <w:color w:val="FFFFFF"/>
                <w:sz w:val="19"/>
              </w:rPr>
              <w:t>Primary Pathological Etiologies</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Solanaceae (Nightshades)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Potato, Tomato, Pepper, Eggplant</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4</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48 Pairs</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Early/Late Blight, Bacterial Spot, Mosaic Virus, Septoria</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Cucurbitaceae (Cucurbits)</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Cucumber, Squash, Watermelon, Melon</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4</w:t>
            </w:r>
          </w:p>
        </w:tc>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32 Pairs</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Powdery Mildew, Downy Mildew, Anthracnose, Scab</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Poaceae (Gramineae)</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Corn (Maize), Wheat, Rice, Barley</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4</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36 Pairs</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Northern Leaf Blight, Common Rust, Blast, Brown Spot</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Rosaceae (Pome/Stone)</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Apple, Peach, Cherry, Strawberry</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5</w:t>
            </w:r>
          </w:p>
        </w:tc>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42 Pairs</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Apple Scab, Black Rot, Cedar Rust, Powdery Mildew</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Fabaceae (Legumes)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Soybean, Common Bean, Pea, Chickpea</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4</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28 Pairs</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Rust, Angular Leaf Spot, Frogeye Leaf Spot, Bacterial Blight</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Vitaceae (Vine Crops)</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Grape (Table, Wine varieties)</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1</w:t>
            </w:r>
          </w:p>
        </w:tc>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16 Pairs</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Black Rot, Esca (Black Measles), Leaf Blight, Healthy</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Brassicaceae (Crucifers)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Cabbage, Cauliflower, Broccoli</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3</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22 Pairs</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Black Rot, Downy Mildew, Alternaria Leaf Spot</w:t>
            </w:r>
          </w:p>
        </w:tc>
      </w:tr>
      <w:tr>
        <w:trPr>
          <w:cantSplit/>
        </w:trPr>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Rutaceae (Citrus)</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Orange, Lemon, Lime, Grapefruit</w:t>
            </w:r>
          </w:p>
        </w:tc>
        <w:tc>
          <w:tcPr>
            <w:tcW w:type="dxa" w:w="1152"/>
            <w:shd w:fill="F9FBE7"/>
            <w:tcMar>
              <w:top w:w="50" w:type="dxa"/>
              <w:bottom w:w="50" w:type="dxa"/>
              <w:left w:w="90" w:type="dxa"/>
              <w:right w:w="90" w:type="dxa"/>
            </w:tcMar>
          </w:tcPr>
          <w:p>
            <w:pPr>
              <w:spacing w:after="0" w:before="0" w:line="252" w:lineRule="auto"/>
              <w:jc w:val="left"/>
            </w:pPr>
            <w:r>
              <w:rPr>
                <w:rFonts w:ascii="Calibri" w:hAnsi="Calibri"/>
                <w:color w:val="263238"/>
                <w:sz w:val="18"/>
              </w:rPr>
              <w:t>4</w:t>
            </w:r>
          </w:p>
        </w:tc>
        <w:tc>
          <w:tcPr>
            <w:tcW w:type="dxa" w:w="1728"/>
            <w:shd w:fill="F9FBE7"/>
            <w:tcMar>
              <w:top w:w="50" w:type="dxa"/>
              <w:bottom w:w="50" w:type="dxa"/>
              <w:left w:w="90" w:type="dxa"/>
              <w:right w:w="90" w:type="dxa"/>
            </w:tcMar>
          </w:tcPr>
          <w:p>
            <w:pPr>
              <w:spacing w:after="0" w:before="0" w:line="252" w:lineRule="auto"/>
              <w:jc w:val="left"/>
            </w:pPr>
            <w:r>
              <w:rPr>
                <w:rFonts w:ascii="Calibri" w:hAnsi="Calibri"/>
                <w:color w:val="263238"/>
                <w:sz w:val="18"/>
              </w:rPr>
              <w:t>26 Pairs</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Citrus Greening (HLB), Citrus Canker, Black Spot</w:t>
            </w:r>
          </w:p>
        </w:tc>
      </w:tr>
      <w:tr>
        <w:trPr>
          <w:cantSplit/>
        </w:trPr>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Specialty / Cash Crops</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Cotton, Coffee, Tea, Sugarcane, Cassava</w:t>
            </w:r>
          </w:p>
        </w:tc>
        <w:tc>
          <w:tcPr>
            <w:tcW w:type="dxa" w:w="1152"/>
            <w:shd w:fill="FFFFFF"/>
            <w:tcMar>
              <w:top w:w="50" w:type="dxa"/>
              <w:bottom w:w="50" w:type="dxa"/>
              <w:left w:w="90" w:type="dxa"/>
              <w:right w:w="90" w:type="dxa"/>
            </w:tcMar>
          </w:tcPr>
          <w:p>
            <w:pPr>
              <w:spacing w:after="0" w:before="0" w:line="252" w:lineRule="auto"/>
              <w:jc w:val="left"/>
            </w:pPr>
            <w:r>
              <w:rPr>
                <w:rFonts w:ascii="Calibri" w:hAnsi="Calibri"/>
                <w:color w:val="263238"/>
                <w:sz w:val="18"/>
              </w:rPr>
              <w:t>26</w:t>
            </w:r>
          </w:p>
        </w:tc>
        <w:tc>
          <w:tcPr>
            <w:tcW w:type="dxa" w:w="1728"/>
            <w:shd w:fill="FFFFFF"/>
            <w:tcMar>
              <w:top w:w="50" w:type="dxa"/>
              <w:bottom w:w="50" w:type="dxa"/>
              <w:left w:w="90" w:type="dxa"/>
              <w:right w:w="90" w:type="dxa"/>
            </w:tcMar>
          </w:tcPr>
          <w:p>
            <w:pPr>
              <w:spacing w:after="0" w:before="0" w:line="252" w:lineRule="auto"/>
              <w:jc w:val="left"/>
            </w:pPr>
            <w:r>
              <w:rPr>
                <w:rFonts w:ascii="Calibri" w:hAnsi="Calibri"/>
                <w:color w:val="263238"/>
                <w:sz w:val="18"/>
              </w:rPr>
              <w:t>83 Pairs</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Bacterial Blight, Coffee Leaf Rust, Mosaic, Red Rot</w:t>
            </w:r>
          </w:p>
        </w:tc>
      </w:tr>
    </w:tbl>
    <w:p>
      <w:pPr>
        <w:spacing w:after="80"/>
      </w:pPr>
    </w:p>
    <w:p>
      <w:pPr>
        <w:keepNext/>
        <w:spacing w:before="160" w:after="60"/>
      </w:pPr>
      <w:r>
        <w:rPr>
          <w:rFonts w:ascii="Calibri" w:hAnsi="Calibri"/>
          <w:b/>
          <w:color w:val="1B5E20"/>
          <w:sz w:val="20"/>
        </w:rPr>
        <w:t>Table A.2: Representative Multi-Crop Taxonomy Dictionary (32 Key Crop-Disease Pairs Across All 8 Families)</w:t>
      </w:r>
    </w:p>
    <w:tbl>
      <w:tblPr>
        <w:tblW w:type="auto" w:w="0"/>
        <w:jc w:val="center"/>
        <w:tblLook w:firstColumn="1" w:firstRow="1" w:lastColumn="0" w:lastRow="0" w:noHBand="0" w:noVBand="1" w:val="04A0"/>
      </w:tblPr>
      <w:tblGrid>
        <w:gridCol w:w="1734"/>
        <w:gridCol w:w="1734"/>
        <w:gridCol w:w="1734"/>
        <w:gridCol w:w="1734"/>
        <w:gridCol w:w="1734"/>
      </w:tblGrid>
      <w:tr>
        <w:trPr>
          <w:tblHeader/>
          <w:cantSplit/>
        </w:trPr>
        <w:tc>
          <w:tcPr>
            <w:tcW w:type="dxa" w:w="1296"/>
            <w:shd w:fill="2E7D32"/>
            <w:tcMar>
              <w:top w:w="70" w:type="dxa"/>
              <w:bottom w:w="70" w:type="dxa"/>
              <w:left w:w="90" w:type="dxa"/>
              <w:right w:w="90" w:type="dxa"/>
            </w:tcMar>
          </w:tcPr>
          <w:p>
            <w:pPr>
              <w:spacing w:after="0" w:before="0"/>
              <w:jc w:val="center"/>
            </w:pPr>
            <w:r>
              <w:rPr>
                <w:rFonts w:ascii="Calibri" w:hAnsi="Calibri"/>
                <w:b/>
                <w:color w:val="FFFFFF"/>
                <w:sz w:val="19"/>
              </w:rPr>
              <w:t>Pair ID</w:t>
            </w:r>
          </w:p>
        </w:tc>
        <w:tc>
          <w:tcPr>
            <w:tcW w:type="dxa" w:w="2304"/>
            <w:shd w:fill="2E7D32"/>
            <w:tcMar>
              <w:top w:w="70" w:type="dxa"/>
              <w:bottom w:w="70" w:type="dxa"/>
              <w:left w:w="90" w:type="dxa"/>
              <w:right w:w="90" w:type="dxa"/>
            </w:tcMar>
          </w:tcPr>
          <w:p>
            <w:pPr>
              <w:spacing w:after="0" w:before="0"/>
              <w:jc w:val="center"/>
            </w:pPr>
            <w:r>
              <w:rPr>
                <w:rFonts w:ascii="Calibri" w:hAnsi="Calibri"/>
                <w:b/>
                <w:color w:val="FFFFFF"/>
                <w:sz w:val="19"/>
              </w:rPr>
              <w:t>Botanical Host Crop</w:t>
            </w:r>
          </w:p>
        </w:tc>
        <w:tc>
          <w:tcPr>
            <w:tcW w:type="dxa" w:w="3024"/>
            <w:shd w:fill="2E7D32"/>
            <w:tcMar>
              <w:top w:w="70" w:type="dxa"/>
              <w:bottom w:w="70" w:type="dxa"/>
              <w:left w:w="90" w:type="dxa"/>
              <w:right w:w="90" w:type="dxa"/>
            </w:tcMar>
          </w:tcPr>
          <w:p>
            <w:pPr>
              <w:spacing w:after="0" w:before="0"/>
              <w:jc w:val="center"/>
            </w:pPr>
            <w:r>
              <w:rPr>
                <w:rFonts w:ascii="Calibri" w:hAnsi="Calibri"/>
                <w:b/>
                <w:color w:val="FFFFFF"/>
                <w:sz w:val="19"/>
              </w:rPr>
              <w:t>Pathological Condition</w:t>
            </w:r>
          </w:p>
        </w:tc>
        <w:tc>
          <w:tcPr>
            <w:tcW w:type="dxa" w:w="1872"/>
            <w:shd w:fill="2E7D32"/>
            <w:tcMar>
              <w:top w:w="70" w:type="dxa"/>
              <w:bottom w:w="70" w:type="dxa"/>
              <w:left w:w="90" w:type="dxa"/>
              <w:right w:w="90" w:type="dxa"/>
            </w:tcMar>
          </w:tcPr>
          <w:p>
            <w:pPr>
              <w:spacing w:after="0" w:before="0"/>
              <w:jc w:val="center"/>
            </w:pPr>
            <w:r>
              <w:rPr>
                <w:rFonts w:ascii="Calibri" w:hAnsi="Calibri"/>
                <w:b/>
                <w:color w:val="FFFFFF"/>
                <w:sz w:val="19"/>
              </w:rPr>
              <w:t>Head Indices [P, D]</w:t>
            </w:r>
          </w:p>
        </w:tc>
        <w:tc>
          <w:tcPr>
            <w:tcW w:type="dxa" w:w="2016"/>
            <w:shd w:fill="2E7D32"/>
            <w:tcMar>
              <w:top w:w="70" w:type="dxa"/>
              <w:bottom w:w="70" w:type="dxa"/>
              <w:left w:w="90" w:type="dxa"/>
              <w:right w:w="90" w:type="dxa"/>
            </w:tcMar>
          </w:tcPr>
          <w:p>
            <w:pPr>
              <w:spacing w:after="0" w:before="0"/>
              <w:jc w:val="center"/>
            </w:pPr>
            <w:r>
              <w:rPr>
                <w:rFonts w:ascii="Calibri" w:hAnsi="Calibri"/>
                <w:b/>
                <w:color w:val="FFFFFF"/>
                <w:sz w:val="19"/>
              </w:rPr>
              <w:t>Diagnostic Etiology</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P-001</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Tomato</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Yellow Leaf Curl Virus</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[51, 167]</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Viral Pathogen</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P-002</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Tomato</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Septoria Leaf Spot</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[51, 165]</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P-003</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Apple</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Healthy</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[0, 9]</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Healthy Foliage</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P-004</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Apple</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Rust</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[0, 10]</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P-005</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Paddy</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Blast</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[33, 122]</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P-006</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Paddy</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[33, 9]</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 Foliage</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P-007</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Sugarcane</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Yellowing</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[47, 58]</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P-008</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Sugarcane</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[47, 9]</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 Foliage</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P-009</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Cassava</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Mosaic</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[13, 51]</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Viral Pathogen</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P-010</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Cassava</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[13, 9]</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 Foliage</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P-011</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Wheat</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Rust</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[53, 10]</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P-012</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Wheat</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[53, 9]</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 Foliage</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P-013</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Potato</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Early Blight</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[40, 55]</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P-014</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Potato</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Late Blight</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[40, 139]</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P-015</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Banana</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Xamthomonas</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[2, 27]</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P-016</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Banana</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Sigatoka</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[2, 26]</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P-017</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Corn</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Streak Virus</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[21, 95]</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Viral Pathogen</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P-018</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Corn</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[21, 9]</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 Foliage</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P-019</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Soybean</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Healthy</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[44, 9]</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Healthy Foliage</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P-020</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Soybean</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Caterpillar</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[44, 143]</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P-021</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Cotton</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Healthy</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[22, 9]</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Healthy Foliage</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P-022</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Cotton</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Bacterial Blight</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[22, 46]</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Bacterial Infection</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P-023</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Mango</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Healthy</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[30, 9]</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Healthy Foliage</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P-024</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Mango</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Sooty Mould</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[30, 114]</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P-025</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Peanut</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Healthy</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[37, 9]</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Healthy Foliage</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P-026</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Peanut</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Early Leaf Spot</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[37, 132]</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P-027</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Grape</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Esca</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[27, 88]</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P-028</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Grape</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[27, 9]</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 Foliage</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P-029</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Coffee</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Rust</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[19, 10]</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P-030</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Coffee</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[19, 9]</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Healthy Foliage</w:t>
            </w:r>
          </w:p>
        </w:tc>
      </w:tr>
      <w:tr>
        <w:trPr>
          <w:cantSplit/>
        </w:trPr>
        <w:tc>
          <w:tcPr>
            <w:tcW w:type="dxa" w:w="1296"/>
            <w:shd w:fill="FFFFFF"/>
            <w:tcMar>
              <w:top w:w="50" w:type="dxa"/>
              <w:bottom w:w="50" w:type="dxa"/>
              <w:left w:w="90" w:type="dxa"/>
              <w:right w:w="90" w:type="dxa"/>
            </w:tcMar>
          </w:tcPr>
          <w:p>
            <w:pPr>
              <w:spacing w:after="0" w:before="0" w:line="252" w:lineRule="auto"/>
              <w:jc w:val="left"/>
            </w:pPr>
            <w:r>
              <w:rPr>
                <w:rFonts w:ascii="Calibri" w:hAnsi="Calibri"/>
                <w:color w:val="263238"/>
                <w:sz w:val="18"/>
              </w:rPr>
              <w:t>P-031</w:t>
            </w:r>
          </w:p>
        </w:tc>
        <w:tc>
          <w:tcPr>
            <w:tcW w:type="dxa" w:w="2304"/>
            <w:shd w:fill="FFFFFF"/>
            <w:tcMar>
              <w:top w:w="50" w:type="dxa"/>
              <w:bottom w:w="50" w:type="dxa"/>
              <w:left w:w="90" w:type="dxa"/>
              <w:right w:w="90" w:type="dxa"/>
            </w:tcMar>
          </w:tcPr>
          <w:p>
            <w:pPr>
              <w:spacing w:after="0" w:before="0" w:line="252" w:lineRule="auto"/>
              <w:jc w:val="left"/>
            </w:pPr>
            <w:r>
              <w:rPr>
                <w:rFonts w:ascii="Calibri" w:hAnsi="Calibri"/>
                <w:color w:val="263238"/>
                <w:sz w:val="18"/>
              </w:rPr>
              <w:t>Olive</w:t>
            </w:r>
          </w:p>
        </w:tc>
        <w:tc>
          <w:tcPr>
            <w:tcW w:type="dxa" w:w="3024"/>
            <w:shd w:fill="FFFFFF"/>
            <w:tcMar>
              <w:top w:w="50" w:type="dxa"/>
              <w:bottom w:w="50" w:type="dxa"/>
              <w:left w:w="90" w:type="dxa"/>
              <w:right w:w="90" w:type="dxa"/>
            </w:tcMar>
          </w:tcPr>
          <w:p>
            <w:pPr>
              <w:spacing w:after="0" w:before="0" w:line="252" w:lineRule="auto"/>
              <w:jc w:val="left"/>
            </w:pPr>
            <w:r>
              <w:rPr>
                <w:rFonts w:ascii="Calibri" w:hAnsi="Calibri"/>
                <w:color w:val="263238"/>
                <w:sz w:val="18"/>
              </w:rPr>
              <w:t>Peacock Spot</w:t>
            </w:r>
          </w:p>
        </w:tc>
        <w:tc>
          <w:tcPr>
            <w:tcW w:type="dxa" w:w="1872"/>
            <w:shd w:fill="FFFFFF"/>
            <w:tcMar>
              <w:top w:w="50" w:type="dxa"/>
              <w:bottom w:w="50" w:type="dxa"/>
              <w:left w:w="90" w:type="dxa"/>
              <w:right w:w="90" w:type="dxa"/>
            </w:tcMar>
          </w:tcPr>
          <w:p>
            <w:pPr>
              <w:spacing w:after="0" w:before="0" w:line="252" w:lineRule="auto"/>
              <w:jc w:val="left"/>
            </w:pPr>
            <w:r>
              <w:rPr>
                <w:rFonts w:ascii="Calibri" w:hAnsi="Calibri"/>
                <w:color w:val="263238"/>
                <w:sz w:val="18"/>
              </w:rPr>
              <w:t>[32, 118]</w:t>
            </w:r>
          </w:p>
        </w:tc>
        <w:tc>
          <w:tcPr>
            <w:tcW w:type="dxa" w:w="2016"/>
            <w:shd w:fill="FFFFFF"/>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r>
        <w:trPr>
          <w:cantSplit/>
        </w:trPr>
        <w:tc>
          <w:tcPr>
            <w:tcW w:type="dxa" w:w="1296"/>
            <w:shd w:fill="F9FBE7"/>
            <w:tcMar>
              <w:top w:w="50" w:type="dxa"/>
              <w:bottom w:w="50" w:type="dxa"/>
              <w:left w:w="90" w:type="dxa"/>
              <w:right w:w="90" w:type="dxa"/>
            </w:tcMar>
          </w:tcPr>
          <w:p>
            <w:pPr>
              <w:spacing w:after="0" w:before="0" w:line="252" w:lineRule="auto"/>
              <w:jc w:val="left"/>
            </w:pPr>
            <w:r>
              <w:rPr>
                <w:rFonts w:ascii="Calibri" w:hAnsi="Calibri"/>
                <w:color w:val="263238"/>
                <w:sz w:val="18"/>
              </w:rPr>
              <w:t>P-032</w:t>
            </w:r>
          </w:p>
        </w:tc>
        <w:tc>
          <w:tcPr>
            <w:tcW w:type="dxa" w:w="2304"/>
            <w:shd w:fill="F9FBE7"/>
            <w:tcMar>
              <w:top w:w="50" w:type="dxa"/>
              <w:bottom w:w="50" w:type="dxa"/>
              <w:left w:w="90" w:type="dxa"/>
              <w:right w:w="90" w:type="dxa"/>
            </w:tcMar>
          </w:tcPr>
          <w:p>
            <w:pPr>
              <w:spacing w:after="0" w:before="0" w:line="252" w:lineRule="auto"/>
              <w:jc w:val="left"/>
            </w:pPr>
            <w:r>
              <w:rPr>
                <w:rFonts w:ascii="Calibri" w:hAnsi="Calibri"/>
                <w:color w:val="263238"/>
                <w:sz w:val="18"/>
              </w:rPr>
              <w:t>Olive</w:t>
            </w:r>
          </w:p>
        </w:tc>
        <w:tc>
          <w:tcPr>
            <w:tcW w:type="dxa" w:w="3024"/>
            <w:shd w:fill="F9FBE7"/>
            <w:tcMar>
              <w:top w:w="50" w:type="dxa"/>
              <w:bottom w:w="50" w:type="dxa"/>
              <w:left w:w="90" w:type="dxa"/>
              <w:right w:w="90" w:type="dxa"/>
            </w:tcMar>
          </w:tcPr>
          <w:p>
            <w:pPr>
              <w:spacing w:after="0" w:before="0" w:line="252" w:lineRule="auto"/>
              <w:jc w:val="left"/>
            </w:pPr>
            <w:r>
              <w:rPr>
                <w:rFonts w:ascii="Calibri" w:hAnsi="Calibri"/>
                <w:color w:val="263238"/>
                <w:sz w:val="18"/>
              </w:rPr>
              <w:t>Aculus Olearius</w:t>
            </w:r>
          </w:p>
        </w:tc>
        <w:tc>
          <w:tcPr>
            <w:tcW w:type="dxa" w:w="1872"/>
            <w:shd w:fill="F9FBE7"/>
            <w:tcMar>
              <w:top w:w="50" w:type="dxa"/>
              <w:bottom w:w="50" w:type="dxa"/>
              <w:left w:w="90" w:type="dxa"/>
              <w:right w:w="90" w:type="dxa"/>
            </w:tcMar>
          </w:tcPr>
          <w:p>
            <w:pPr>
              <w:spacing w:after="0" w:before="0" w:line="252" w:lineRule="auto"/>
              <w:jc w:val="left"/>
            </w:pPr>
            <w:r>
              <w:rPr>
                <w:rFonts w:ascii="Calibri" w:hAnsi="Calibri"/>
                <w:color w:val="263238"/>
                <w:sz w:val="18"/>
              </w:rPr>
              <w:t>[32, 117]</w:t>
            </w:r>
          </w:p>
        </w:tc>
        <w:tc>
          <w:tcPr>
            <w:tcW w:type="dxa" w:w="2016"/>
            <w:shd w:fill="F9FBE7"/>
            <w:tcMar>
              <w:top w:w="50" w:type="dxa"/>
              <w:bottom w:w="50" w:type="dxa"/>
              <w:left w:w="90" w:type="dxa"/>
              <w:right w:w="90" w:type="dxa"/>
            </w:tcMar>
          </w:tcPr>
          <w:p>
            <w:pPr>
              <w:spacing w:after="0" w:before="0" w:line="252" w:lineRule="auto"/>
              <w:jc w:val="left"/>
            </w:pPr>
            <w:r>
              <w:rPr>
                <w:rFonts w:ascii="Calibri" w:hAnsi="Calibri"/>
                <w:color w:val="263238"/>
                <w:sz w:val="18"/>
              </w:rPr>
              <w:t>Fungal Pathogen</w:t>
            </w:r>
          </w:p>
        </w:tc>
      </w:tr>
    </w:tbl>
    <w:p>
      <w:pPr>
        <w:spacing w:after="80"/>
      </w:pPr>
    </w:p>
    <w:p>
      <w:r>
        <w:br w:type="page"/>
      </w:r>
    </w:p>
    <w:p>
      <w:pPr>
        <w:keepNext/>
        <w:spacing w:before="360" w:after="120"/>
        <w:jc w:val="center"/>
      </w:pPr>
      <w:r>
        <w:rPr>
          <w:rFonts w:ascii="Calibri" w:hAnsi="Calibri"/>
          <w:b/>
          <w:color w:val="1B5E20"/>
          <w:sz w:val="30"/>
        </w:rPr>
        <w:t>APPENDIX B: COMPLETE REST API OPENAPI / SWAGGER SPECIFICATION</w:t>
      </w:r>
    </w:p>
    <w:p>
      <w:pPr>
        <w:spacing w:before="0" w:after="90" w:line="276" w:lineRule="auto"/>
        <w:jc w:val="both"/>
        <w:widowControl/>
      </w:pPr>
      <w:r>
        <w:rPr>
          <w:rFonts w:ascii="Calibri" w:hAnsi="Calibri"/>
          <w:color w:val="263238"/>
          <w:sz w:val="24"/>
        </w:rPr>
        <w:t>The DPD ViT-Base platform exposes a fully compliant OpenAPI v3.0 REST interface documented in Table B.1. All endpoints support standard HTTP status codes, structured JSON payloads, and JWT Bearer authorization.</w:t>
      </w:r>
    </w:p>
    <w:p>
      <w:pPr>
        <w:keepNext/>
        <w:spacing w:before="160" w:after="60"/>
      </w:pPr>
      <w:r>
        <w:rPr>
          <w:rFonts w:ascii="Calibri" w:hAnsi="Calibri"/>
          <w:b/>
          <w:color w:val="1B5E20"/>
          <w:sz w:val="20"/>
        </w:rPr>
        <w:t>Table B.1: Formal REST API Endpoint Specifications &amp; Architectural Contracts</w:t>
      </w:r>
    </w:p>
    <w:tbl>
      <w:tblPr>
        <w:tblW w:type="auto" w:w="0"/>
        <w:jc w:val="center"/>
        <w:tblLook w:firstColumn="1" w:firstRow="1" w:lastColumn="0" w:lastRow="0" w:noHBand="0" w:noVBand="1" w:val="04A0"/>
      </w:tblPr>
      <w:tblGrid>
        <w:gridCol w:w="1734"/>
        <w:gridCol w:w="1734"/>
        <w:gridCol w:w="1734"/>
        <w:gridCol w:w="1734"/>
        <w:gridCol w:w="1734"/>
      </w:tblGrid>
      <w:tr>
        <w:trPr>
          <w:tblHeader/>
          <w:cantSplit/>
        </w:trPr>
        <w:tc>
          <w:tcPr>
            <w:tcW w:type="dxa" w:w="1440"/>
            <w:shd w:fill="2E7D32"/>
            <w:tcMar>
              <w:top w:w="70" w:type="dxa"/>
              <w:bottom w:w="70" w:type="dxa"/>
              <w:left w:w="90" w:type="dxa"/>
              <w:right w:w="90" w:type="dxa"/>
            </w:tcMar>
          </w:tcPr>
          <w:p>
            <w:pPr>
              <w:spacing w:after="0" w:before="0"/>
              <w:jc w:val="center"/>
            </w:pPr>
            <w:r>
              <w:rPr>
                <w:rFonts w:ascii="Calibri" w:hAnsi="Calibri"/>
                <w:b/>
                <w:color w:val="FFFFFF"/>
                <w:sz w:val="19"/>
              </w:rPr>
              <w:t>HTTP Method</w:t>
            </w:r>
          </w:p>
        </w:tc>
        <w:tc>
          <w:tcPr>
            <w:tcW w:type="dxa" w:w="2592"/>
            <w:shd w:fill="2E7D32"/>
            <w:tcMar>
              <w:top w:w="70" w:type="dxa"/>
              <w:bottom w:w="70" w:type="dxa"/>
              <w:left w:w="90" w:type="dxa"/>
              <w:right w:w="90" w:type="dxa"/>
            </w:tcMar>
          </w:tcPr>
          <w:p>
            <w:pPr>
              <w:spacing w:after="0" w:before="0"/>
              <w:jc w:val="center"/>
            </w:pPr>
            <w:r>
              <w:rPr>
                <w:rFonts w:ascii="Calibri" w:hAnsi="Calibri"/>
                <w:b/>
                <w:color w:val="FFFFFF"/>
                <w:sz w:val="19"/>
              </w:rPr>
              <w:t>Endpoint URI Path</w:t>
            </w:r>
          </w:p>
        </w:tc>
        <w:tc>
          <w:tcPr>
            <w:tcW w:type="dxa" w:w="2160"/>
            <w:shd w:fill="2E7D32"/>
            <w:tcMar>
              <w:top w:w="70" w:type="dxa"/>
              <w:bottom w:w="70" w:type="dxa"/>
              <w:left w:w="90" w:type="dxa"/>
              <w:right w:w="90" w:type="dxa"/>
            </w:tcMar>
          </w:tcPr>
          <w:p>
            <w:pPr>
              <w:spacing w:after="0" w:before="0"/>
              <w:jc w:val="center"/>
            </w:pPr>
            <w:r>
              <w:rPr>
                <w:rFonts w:ascii="Calibri" w:hAnsi="Calibri"/>
                <w:b/>
                <w:color w:val="FFFFFF"/>
                <w:sz w:val="19"/>
              </w:rPr>
              <w:t>Access Control</w:t>
            </w:r>
          </w:p>
        </w:tc>
        <w:tc>
          <w:tcPr>
            <w:tcW w:type="dxa" w:w="2592"/>
            <w:shd w:fill="2E7D32"/>
            <w:tcMar>
              <w:top w:w="70" w:type="dxa"/>
              <w:bottom w:w="70" w:type="dxa"/>
              <w:left w:w="90" w:type="dxa"/>
              <w:right w:w="90" w:type="dxa"/>
            </w:tcMar>
          </w:tcPr>
          <w:p>
            <w:pPr>
              <w:spacing w:after="0" w:before="0"/>
              <w:jc w:val="center"/>
            </w:pPr>
            <w:r>
              <w:rPr>
                <w:rFonts w:ascii="Calibri" w:hAnsi="Calibri"/>
                <w:b/>
                <w:color w:val="FFFFFF"/>
                <w:sz w:val="19"/>
              </w:rPr>
              <w:t>Request Payload / Parameters</w:t>
            </w:r>
          </w:p>
        </w:tc>
        <w:tc>
          <w:tcPr>
            <w:tcW w:type="dxa" w:w="3168"/>
            <w:shd w:fill="2E7D32"/>
            <w:tcMar>
              <w:top w:w="70" w:type="dxa"/>
              <w:bottom w:w="70" w:type="dxa"/>
              <w:left w:w="90" w:type="dxa"/>
              <w:right w:w="90" w:type="dxa"/>
            </w:tcMar>
          </w:tcPr>
          <w:p>
            <w:pPr>
              <w:spacing w:after="0" w:before="0"/>
              <w:jc w:val="center"/>
            </w:pPr>
            <w:r>
              <w:rPr>
                <w:rFonts w:ascii="Calibri" w:hAnsi="Calibri"/>
                <w:b/>
                <w:color w:val="FFFFFF"/>
                <w:sz w:val="19"/>
              </w:rPr>
              <w:t>Response Schema &amp; Success Output</w:t>
            </w:r>
          </w:p>
        </w:tc>
      </w:tr>
      <w:tr>
        <w:trPr>
          <w:cantSplit/>
        </w:trPr>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GET</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/health</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Public</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None</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200 OK: {'status': 'ok'}</w:t>
            </w:r>
          </w:p>
        </w:tc>
      </w:tr>
      <w:tr>
        <w:trPr>
          <w:cantSplit/>
        </w:trPr>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GET</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/health/ready</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Public</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None</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200 OK: {'status': 'ready', 'model_loaded': true, 'database_connected': true}</w:t>
            </w:r>
          </w:p>
        </w:tc>
      </w:tr>
      <w:tr>
        <w:trPr>
          <w:cantSplit/>
        </w:trPr>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POST</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/api/register</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Public</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JSON: {username, email, password}</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200 OK: {user_id, access_token, token_type: 'bearer'}</w:t>
            </w:r>
          </w:p>
        </w:tc>
      </w:tr>
      <w:tr>
        <w:trPr>
          <w:cantSplit/>
        </w:trPr>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POST</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/api/login</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Public</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JSON: {username_or_email, password}</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200 OK: {user_id, access_token, token_type: 'bearer'}</w:t>
            </w:r>
          </w:p>
        </w:tc>
      </w:tr>
      <w:tr>
        <w:trPr>
          <w:cantSplit/>
        </w:trPr>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POST</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/predict</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Public / Optional Bearer</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Multipart: file (Image, &lt;=10MB)</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200 OK: {crop, disease, confidence, status, top_3, advisory}</w:t>
            </w:r>
          </w:p>
        </w:tc>
      </w:tr>
      <w:tr>
        <w:trPr>
          <w:cantSplit/>
        </w:trPr>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POST</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/api/predict</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Public / Optional Bearer</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Multipart: file (Image, &lt;=10MB)</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200 OK: (Identical schema to /predict for REST standard)</w:t>
            </w:r>
          </w:p>
        </w:tc>
      </w:tr>
      <w:tr>
        <w:trPr>
          <w:cantSplit/>
        </w:trPr>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GET</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/api/history</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Bearer JWT Required</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Query: ?limit=50 (Default 50)</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200 OK: Array of {id, crop, disease, confidence, created_at}</w:t>
            </w:r>
          </w:p>
        </w:tc>
      </w:tr>
      <w:tr>
        <w:trPr>
          <w:cantSplit/>
        </w:trPr>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GET</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/api/prediction/{id}/pdf</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Bearer JWT Required (IDOR Guard)</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Path parameter: id (int)</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200 OK: Binary application/pdf stream with clinical report</w:t>
            </w:r>
          </w:p>
        </w:tc>
      </w:tr>
      <w:tr>
        <w:trPr>
          <w:cantSplit/>
        </w:trPr>
        <w:tc>
          <w:tcPr>
            <w:tcW w:type="dxa" w:w="1440"/>
            <w:shd w:fill="FFFFFF"/>
            <w:tcMar>
              <w:top w:w="50" w:type="dxa"/>
              <w:bottom w:w="50" w:type="dxa"/>
              <w:left w:w="90" w:type="dxa"/>
              <w:right w:w="90" w:type="dxa"/>
            </w:tcMar>
          </w:tcPr>
          <w:p>
            <w:pPr>
              <w:spacing w:after="0" w:before="0" w:line="252" w:lineRule="auto"/>
              <w:jc w:val="left"/>
            </w:pPr>
            <w:r>
              <w:rPr>
                <w:rFonts w:ascii="Calibri" w:hAnsi="Calibri"/>
                <w:color w:val="263238"/>
                <w:sz w:val="18"/>
              </w:rPr>
              <w:t>GET</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/api/statistics</w:t>
            </w:r>
          </w:p>
        </w:tc>
        <w:tc>
          <w:tcPr>
            <w:tcW w:type="dxa" w:w="2160"/>
            <w:shd w:fill="FFFFFF"/>
            <w:tcMar>
              <w:top w:w="50" w:type="dxa"/>
              <w:bottom w:w="50" w:type="dxa"/>
              <w:left w:w="90" w:type="dxa"/>
              <w:right w:w="90" w:type="dxa"/>
            </w:tcMar>
          </w:tcPr>
          <w:p>
            <w:pPr>
              <w:spacing w:after="0" w:before="0" w:line="252" w:lineRule="auto"/>
              <w:jc w:val="left"/>
            </w:pPr>
            <w:r>
              <w:rPr>
                <w:rFonts w:ascii="Calibri" w:hAnsi="Calibri"/>
                <w:color w:val="263238"/>
                <w:sz w:val="18"/>
              </w:rPr>
              <w:t>Bearer JWT Required</w:t>
            </w:r>
          </w:p>
        </w:tc>
        <w:tc>
          <w:tcPr>
            <w:tcW w:type="dxa" w:w="2592"/>
            <w:shd w:fill="FFFFFF"/>
            <w:tcMar>
              <w:top w:w="50" w:type="dxa"/>
              <w:bottom w:w="50" w:type="dxa"/>
              <w:left w:w="90" w:type="dxa"/>
              <w:right w:w="90" w:type="dxa"/>
            </w:tcMar>
          </w:tcPr>
          <w:p>
            <w:pPr>
              <w:spacing w:after="0" w:before="0" w:line="252" w:lineRule="auto"/>
              <w:jc w:val="left"/>
            </w:pPr>
            <w:r>
              <w:rPr>
                <w:rFonts w:ascii="Calibri" w:hAnsi="Calibri"/>
                <w:color w:val="263238"/>
                <w:sz w:val="18"/>
              </w:rPr>
              <w:t>None</w:t>
            </w:r>
          </w:p>
        </w:tc>
        <w:tc>
          <w:tcPr>
            <w:tcW w:type="dxa" w:w="3168"/>
            <w:shd w:fill="FFFFFF"/>
            <w:tcMar>
              <w:top w:w="50" w:type="dxa"/>
              <w:bottom w:w="50" w:type="dxa"/>
              <w:left w:w="90" w:type="dxa"/>
              <w:right w:w="90" w:type="dxa"/>
            </w:tcMar>
          </w:tcPr>
          <w:p>
            <w:pPr>
              <w:spacing w:after="0" w:before="0" w:line="252" w:lineRule="auto"/>
              <w:jc w:val="left"/>
            </w:pPr>
            <w:r>
              <w:rPr>
                <w:rFonts w:ascii="Calibri" w:hAnsi="Calibri"/>
                <w:color w:val="263238"/>
                <w:sz w:val="18"/>
              </w:rPr>
              <w:t>200 OK: {total_scans, healthy_count, diseased_count, top_disease}</w:t>
            </w:r>
          </w:p>
        </w:tc>
      </w:tr>
      <w:tr>
        <w:trPr>
          <w:cantSplit/>
        </w:trPr>
        <w:tc>
          <w:tcPr>
            <w:tcW w:type="dxa" w:w="1440"/>
            <w:shd w:fill="F9FBE7"/>
            <w:tcMar>
              <w:top w:w="50" w:type="dxa"/>
              <w:bottom w:w="50" w:type="dxa"/>
              <w:left w:w="90" w:type="dxa"/>
              <w:right w:w="90" w:type="dxa"/>
            </w:tcMar>
          </w:tcPr>
          <w:p>
            <w:pPr>
              <w:spacing w:after="0" w:before="0" w:line="252" w:lineRule="auto"/>
              <w:jc w:val="left"/>
            </w:pPr>
            <w:r>
              <w:rPr>
                <w:rFonts w:ascii="Calibri" w:hAnsi="Calibri"/>
                <w:color w:val="263238"/>
                <w:sz w:val="18"/>
              </w:rPr>
              <w:t>GET</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/api/library</w:t>
            </w:r>
          </w:p>
        </w:tc>
        <w:tc>
          <w:tcPr>
            <w:tcW w:type="dxa" w:w="2160"/>
            <w:shd w:fill="F9FBE7"/>
            <w:tcMar>
              <w:top w:w="50" w:type="dxa"/>
              <w:bottom w:w="50" w:type="dxa"/>
              <w:left w:w="90" w:type="dxa"/>
              <w:right w:w="90" w:type="dxa"/>
            </w:tcMar>
          </w:tcPr>
          <w:p>
            <w:pPr>
              <w:spacing w:after="0" w:before="0" w:line="252" w:lineRule="auto"/>
              <w:jc w:val="left"/>
            </w:pPr>
            <w:r>
              <w:rPr>
                <w:rFonts w:ascii="Calibri" w:hAnsi="Calibri"/>
                <w:color w:val="263238"/>
                <w:sz w:val="18"/>
              </w:rPr>
              <w:t>Public</w:t>
            </w:r>
          </w:p>
        </w:tc>
        <w:tc>
          <w:tcPr>
            <w:tcW w:type="dxa" w:w="2592"/>
            <w:shd w:fill="F9FBE7"/>
            <w:tcMar>
              <w:top w:w="50" w:type="dxa"/>
              <w:bottom w:w="50" w:type="dxa"/>
              <w:left w:w="90" w:type="dxa"/>
              <w:right w:w="90" w:type="dxa"/>
            </w:tcMar>
          </w:tcPr>
          <w:p>
            <w:pPr>
              <w:spacing w:after="0" w:before="0" w:line="252" w:lineRule="auto"/>
              <w:jc w:val="left"/>
            </w:pPr>
            <w:r>
              <w:rPr>
                <w:rFonts w:ascii="Calibri" w:hAnsi="Calibri"/>
                <w:color w:val="263238"/>
                <w:sz w:val="18"/>
              </w:rPr>
              <w:t>None</w:t>
            </w:r>
          </w:p>
        </w:tc>
        <w:tc>
          <w:tcPr>
            <w:tcW w:type="dxa" w:w="3168"/>
            <w:shd w:fill="F9FBE7"/>
            <w:tcMar>
              <w:top w:w="50" w:type="dxa"/>
              <w:bottom w:w="50" w:type="dxa"/>
              <w:left w:w="90" w:type="dxa"/>
              <w:right w:w="90" w:type="dxa"/>
            </w:tcMar>
          </w:tcPr>
          <w:p>
            <w:pPr>
              <w:spacing w:after="0" w:before="0" w:line="252" w:lineRule="auto"/>
              <w:jc w:val="left"/>
            </w:pPr>
            <w:r>
              <w:rPr>
                <w:rFonts w:ascii="Calibri" w:hAnsi="Calibri"/>
                <w:color w:val="263238"/>
                <w:sz w:val="18"/>
              </w:rPr>
              <w:t>200 OK: Deduplicated array of supported (crop, disease) descriptions</w:t>
            </w:r>
          </w:p>
        </w:tc>
      </w:tr>
    </w:tbl>
    <w:p>
      <w:pPr>
        <w:spacing w:after="80"/>
      </w:pPr>
    </w:p>
    <w:p>
      <w:r>
        <w:br w:type="page"/>
      </w:r>
    </w:p>
    <w:p>
      <w:pPr>
        <w:keepNext/>
        <w:spacing w:before="360" w:after="120"/>
        <w:jc w:val="center"/>
      </w:pPr>
      <w:r>
        <w:rPr>
          <w:rFonts w:ascii="Calibri" w:hAnsi="Calibri"/>
          <w:b/>
          <w:color w:val="1B5E20"/>
          <w:sz w:val="30"/>
        </w:rPr>
        <w:t>APPENDIX C: SYSTEM INSTALLATION &amp; PRODUCTION DEPLOYMENT GUIDE</w:t>
      </w:r>
    </w:p>
    <w:p>
      <w:pPr>
        <w:spacing w:before="0" w:after="90" w:line="276" w:lineRule="auto"/>
        <w:jc w:val="both"/>
        <w:widowControl/>
      </w:pPr>
      <w:r>
        <w:rPr>
          <w:rFonts w:ascii="Calibri" w:hAnsi="Calibri"/>
          <w:color w:val="263238"/>
          <w:sz w:val="24"/>
        </w:rPr>
        <w:t>This appendix provides production deployment specifications for containerized and systemd-managed installations on Ubuntu 22.04 LTS servers.</w:t>
      </w:r>
    </w:p>
    <w:p>
      <w:pPr>
        <w:keepNext/>
        <w:spacing w:before="280" w:after="80"/>
      </w:pPr>
      <w:r>
        <w:rPr>
          <w:rFonts w:ascii="Calibri" w:hAnsi="Calibri"/>
          <w:b/>
          <w:color w:val="2E7D32"/>
          <w:sz w:val="26"/>
        </w:rPr>
        <w:t>C.1 Production Systemd Service Unit Configuration</w:t>
      </w:r>
    </w:p>
    <w:p>
      <w:pPr>
        <w:spacing w:before="0" w:after="90" w:line="276" w:lineRule="auto"/>
        <w:jc w:val="both"/>
        <w:widowControl/>
      </w:pPr>
      <w:r>
        <w:rPr>
          <w:rFonts w:ascii="Calibri" w:hAnsi="Calibri"/>
          <w:color w:val="263238"/>
          <w:sz w:val="24"/>
        </w:rPr>
        <w:t>To manage the FastAPI ASGI application as an enterprise daemon with automatic restart capabilities, configure the systemd unit file at /etc/systemd/system/dpd-vision.service:</w:t>
      </w:r>
    </w:p>
    <w:p>
      <w:pPr>
        <w:keepNext/>
        <w:spacing w:before="160" w:after="60"/>
        <w:jc w:val="left"/>
      </w:pPr>
      <w:r>
        <w:rPr>
          <w:rFonts w:ascii="Calibri" w:hAnsi="Calibri"/>
          <w:b/>
          <w:color w:val="2E7D32"/>
          <w:sz w:val="20"/>
        </w:rPr>
        <w:t>Systemd Service: /etc/systemd/system/dpd-vision.service</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[Unit]</w:t>
              <w:br/>
              <w:t>Description=Multi-Crop Plant Disease Detection &amp; Advisory Service (FastAPI ASGI)</w:t>
              <w:br/>
              <w:t>After=network.target</w:t>
              <w:br/>
              <w:br/>
              <w:t>[Service]</w:t>
              <w:br/>
              <w:t>Type=simple</w:t>
              <w:br/>
              <w:t>User=sober</w:t>
              <w:br/>
              <w:t>WorkingDirectory=/media/sober/Windows-SSD/Users/sober/D_Files/Projects/Computer-Vision-ML/Potato_disease</w:t>
              <w:br/>
              <w:t>Environment="PATH=/media/sober/Windows-SSD/Users/sober/D_Files/.envs/env-ml-vision/bin"</w:t>
              <w:br/>
              <w:t>Environment="PYTHONUNBUFFERED=1"</w:t>
              <w:br/>
              <w:t>Environment="DB_PATH=database.db"</w:t>
              <w:br/>
              <w:t>ExecStart=/media/sober/Windows-SSD/Users/sober/D_Files/.envs/env-ml-vision/bin/uvicorn app:app --host 0.0.0.0 --port 8000 --workers 4 --loop uvloop</w:t>
              <w:br/>
              <w:t>Restart=always</w:t>
              <w:br/>
              <w:t>RestartSec=5s</w:t>
              <w:br/>
              <w:br/>
              <w:t>[Install]</w:t>
              <w:br/>
              <w:t>WantedBy=multi-user.target</w:t>
            </w:r>
          </w:p>
        </w:tc>
      </w:tr>
    </w:tbl>
    <w:p>
      <w:pPr>
        <w:spacing w:after="80"/>
      </w:pPr>
    </w:p>
    <w:p>
      <w:pPr>
        <w:keepNext/>
        <w:spacing w:before="280" w:after="80"/>
      </w:pPr>
      <w:r>
        <w:rPr>
          <w:rFonts w:ascii="Calibri" w:hAnsi="Calibri"/>
          <w:b/>
          <w:color w:val="2E7D32"/>
          <w:sz w:val="26"/>
        </w:rPr>
        <w:t>C.2 Production Nginx Reverse Proxy Configuration</w:t>
      </w:r>
    </w:p>
    <w:p>
      <w:pPr>
        <w:spacing w:before="0" w:after="90" w:line="276" w:lineRule="auto"/>
        <w:jc w:val="both"/>
        <w:widowControl/>
      </w:pPr>
      <w:r>
        <w:rPr>
          <w:rFonts w:ascii="Calibri" w:hAnsi="Calibri"/>
          <w:color w:val="263238"/>
          <w:sz w:val="24"/>
        </w:rPr>
        <w:t>To handle client SSL/TLS termination, enforce 10 MB upload buffers, and serve static assets efficiently, configure Nginx at /etc/nginx/sites-available/dpd.conf:</w:t>
      </w:r>
    </w:p>
    <w:p>
      <w:pPr>
        <w:keepNext/>
        <w:spacing w:before="160" w:after="60"/>
        <w:jc w:val="left"/>
      </w:pPr>
      <w:r>
        <w:rPr>
          <w:rFonts w:ascii="Calibri" w:hAnsi="Calibri"/>
          <w:b/>
          <w:color w:val="2E7D32"/>
          <w:sz w:val="20"/>
        </w:rPr>
        <w:t>Nginx Configuration: /etc/nginx/sites-available/dpd.conf</w:t>
      </w:r>
    </w:p>
    <w:tbl>
      <w:tblPr>
        <w:tblW w:type="auto" w:w="0"/>
        <w:jc w:val="center"/>
        <w:tblLook w:firstColumn="1" w:firstRow="1" w:lastColumn="0" w:lastRow="0" w:noHBand="0" w:noVBand="1" w:val="04A0"/>
      </w:tblPr>
      <w:tblGrid>
        <w:gridCol w:w="8669"/>
      </w:tblGrid>
      <w:tr>
        <w:trPr>
          <w:cantSplit/>
        </w:trPr>
        <w:tc>
          <w:tcPr>
            <w:tcW w:type="dxa" w:w="8640"/>
            <w:shd w:fill="F8F9FA"/>
            <w:tcMar>
              <w:top w:w="80" w:type="dxa"/>
              <w:bottom w:w="80" w:type="dxa"/>
              <w:left w:w="100" w:type="dxa"/>
              <w:right w:w="100" w:type="dxa"/>
            </w:tcMar>
            <w:tcBorders>
              <w:top w:val="single" w:sz="4" w:space="0" w:color="E0E0E0"/>
              <w:left w:val="single" w:sz="24" w:space="0" w:color="2E7D32"/>
              <w:bottom w:val="single" w:sz="4" w:space="0" w:color="E0E0E0"/>
              <w:right w:val="single" w:sz="4" w:space="0" w:color="E0E0E0"/>
            </w:tcBorders>
          </w:tcPr>
          <w:p>
            <w:pPr>
              <w:spacing w:before="40" w:after="40" w:line="252" w:lineRule="auto"/>
              <w:jc w:val="left"/>
            </w:pPr>
            <w:r>
              <w:rPr>
                <w:rFonts w:ascii="Consolas" w:hAnsi="Consolas"/>
                <w:color w:val="263238"/>
                <w:sz w:val="18"/>
              </w:rPr>
              <w:t>server {</w:t>
              <w:br/>
              <w:t xml:space="preserve">    listen 80;</w:t>
              <w:br/>
              <w:t xml:space="preserve">    server_name plant-disease.internal agri-diagnostics.org;</w:t>
              <w:br/>
              <w:br/>
              <w:t xml:space="preserve">    # Enforce 10 MB maximum request payload guard at reverse proxy boundary</w:t>
              <w:br/>
              <w:t xml:space="preserve">    client_max_body_size 10M;</w:t>
              <w:br/>
              <w:br/>
              <w:t xml:space="preserve">    location /static/ {</w:t>
              <w:br/>
              <w:t xml:space="preserve">        alias /media/sober/Windows-SSD/Users/sober/D_Files/Projects/Computer-Vision-ML/Potato_disease/static/;</w:t>
              <w:br/>
              <w:t xml:space="preserve">        expires 30d;</w:t>
              <w:br/>
              <w:t xml:space="preserve">        add_header Cache-Control "public, no-transform";</w:t>
              <w:br/>
              <w:t xml:space="preserve">    }</w:t>
              <w:br/>
              <w:br/>
              <w:t xml:space="preserve">    location / {</w:t>
              <w:br/>
              <w:t xml:space="preserve">        proxy_pass http://127.0.0.1:8000;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proxy_read_timeout 60s;</w:t>
              <w:br/>
              <w:t xml:space="preserve">        proxy_connect_timeout 60s;</w:t>
              <w:br/>
              <w:t xml:space="preserve">    }</w:t>
              <w:br/>
              <w:t>}</w:t>
            </w:r>
          </w:p>
        </w:tc>
      </w:tr>
    </w:tbl>
    <w:p>
      <w:pPr>
        <w:spacing w:after="80"/>
      </w:pPr>
    </w:p>
    <w:p>
      <w:r>
        <w:br w:type="page"/>
      </w:r>
    </w:p>
    <w:p>
      <w:pPr>
        <w:keepNext/>
        <w:spacing w:before="360" w:after="120"/>
        <w:jc w:val="center"/>
      </w:pPr>
      <w:r>
        <w:rPr>
          <w:rFonts w:ascii="Calibri" w:hAnsi="Calibri"/>
          <w:b/>
          <w:color w:val="1B5E20"/>
          <w:sz w:val="30"/>
        </w:rPr>
        <w:t>APPENDIX D: 5-PILLAR AGRICULTURAL ADVISORY PROTOCOLS (SAMPLE)</w:t>
      </w:r>
    </w:p>
    <w:p>
      <w:pPr>
        <w:spacing w:before="0" w:after="90" w:line="276" w:lineRule="auto"/>
        <w:jc w:val="both"/>
        <w:widowControl/>
      </w:pPr>
      <w:r>
        <w:rPr>
          <w:rFonts w:ascii="Calibri" w:hAnsi="Calibri"/>
          <w:color w:val="263238"/>
          <w:sz w:val="24"/>
        </w:rPr>
        <w:t>This appendix details sample clinical agronomic treatment protocols extracted from the system's knowledge base (disease_info.json) for two major foliar pathogens, illustrating the clinical depth of the advisory engine.</w:t>
      </w: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5-PILLAR PROTOCOL: Potato Early Blight (Alternaria solani)</w:t>
            </w:r>
          </w:p>
          <w:p>
            <w:pPr>
              <w:spacing w:before="0" w:after="40" w:line="276" w:lineRule="auto"/>
              <w:jc w:val="left"/>
            </w:pPr>
            <w:r>
              <w:rPr>
                <w:rFonts w:ascii="Calibri" w:hAnsi="Calibri"/>
                <w:color w:val="263238"/>
                <w:sz w:val="20"/>
              </w:rPr>
              <w:t>Host Crop: Potato (Solanum tuberosum)</w:t>
              <w:br/>
              <w:t>1. Symptoms: Dark brown to black necrotic spots with characteristic concentric rings ('target board' pattern) appearing first on older lower foliage, surrounded by chlorotic yellow halos.</w:t>
              <w:br/>
              <w:t>2. Cause / Etiology: Airborne fungal pathogen Alternaria solani; favored by warm temperatures (24-29°C) and alternating wet and dry periods.</w:t>
              <w:br/>
              <w:t>3. Certified Organic Remedies: Foliar spray with Copper Hydroxide (2.5 g/L) or Bacillus subtilis biocontrol formulations at initial symptom onset.</w:t>
              <w:br/>
              <w:t>4. Chemical Control &amp; Dosages: Preventive spray with Mancozeb 75% WP (2 g/L) alternating with Difenoconazole 25% EC (0.5 mL/L); Pre-Harvest Interval (PHI): 14 days.</w:t>
              <w:br/>
              <w:t>5. Cultural Prevention Practices: Implement 3-year crop rotation avoiding Solanaceous hosts; utilize certified disease-free seed tubers; install drip irrigation to prevent foliar wetting.</w:t>
            </w:r>
          </w:p>
        </w:tc>
      </w:tr>
    </w:tbl>
    <w:p>
      <w:pPr>
        <w:spacing w:after="80"/>
      </w:pPr>
    </w:p>
    <w:tbl>
      <w:tblPr>
        <w:tblW w:type="auto" w:w="0"/>
        <w:jc w:val="center"/>
        <w:tblLook w:firstColumn="1" w:firstRow="1" w:lastColumn="0" w:lastRow="0" w:noHBand="0" w:noVBand="1" w:val="04A0"/>
      </w:tblPr>
      <w:tblGrid>
        <w:gridCol w:w="8669"/>
      </w:tblGrid>
      <w:tr>
        <w:trPr>
          <w:cantSplit/>
        </w:trPr>
        <w:tc>
          <w:tcPr>
            <w:tcW w:type="dxa" w:w="8640"/>
            <w:shd w:fill="F1F8E9"/>
            <w:tcMar>
              <w:top w:w="80" w:type="dxa"/>
              <w:bottom w:w="80" w:type="dxa"/>
              <w:left w:w="100" w:type="dxa"/>
              <w:right w:w="100" w:type="dxa"/>
            </w:tcMar>
            <w:tcBorders>
              <w:top w:val="single" w:sz="4" w:space="0" w:color="2E7D32"/>
              <w:left w:val="single" w:sz="24" w:space="0" w:color="2E7D32"/>
              <w:bottom w:val="single" w:sz="4" w:space="0" w:color="2E7D32"/>
              <w:right w:val="single" w:sz="4" w:space="0" w:color="2E7D32"/>
            </w:tcBorders>
          </w:tcPr>
          <w:p>
            <w:pPr>
              <w:spacing w:before="40" w:after="60" w:line="276" w:lineRule="auto"/>
              <w:jc w:val="left"/>
            </w:pPr>
            <w:r>
              <w:rPr>
                <w:rFonts w:ascii="Calibri" w:hAnsi="Calibri"/>
                <w:b/>
                <w:color w:val="1B5E20"/>
                <w:sz w:val="21"/>
              </w:rPr>
              <w:t>5-PILLAR PROTOCOL: Tomato Yellow Leaf Curl Virus (TYLCV)</w:t>
            </w:r>
          </w:p>
          <w:p>
            <w:pPr>
              <w:spacing w:before="0" w:after="40" w:line="276" w:lineRule="auto"/>
              <w:jc w:val="left"/>
            </w:pPr>
            <w:r>
              <w:rPr>
                <w:rFonts w:ascii="Calibri" w:hAnsi="Calibri"/>
                <w:color w:val="263238"/>
                <w:sz w:val="20"/>
              </w:rPr>
              <w:t>Host Crop: Tomato (Solanum lycopersicum)</w:t>
              <w:br/>
              <w:t>1. Symptoms: Severe upward curling and cupping of leaflet margins; interveinal chlorosis; dramatic internode stunting yielding a bushy, erect canopy; complete floral abortion.</w:t>
              <w:br/>
              <w:t>2. Cause / Etiology: Begomovirus transmitted persistently by the silverleaf whitefly (Bemisia tabaci); non-seed transmitted.</w:t>
              <w:br/>
              <w:t>3. Certified Organic Remedies: Apply yellow sticky cards (30-40 traps/hectare) for whitefly monitoring; foliar spray with cold-pressed Neem oil (3%) or Beauveria bassiana.</w:t>
              <w:br/>
              <w:t>4. Chemical Control &amp; Dosages: Target insect vector with Imidacloprid 17.8% SL (0.3 mL/L) or Acetamiprid 20% SP (0.2 g/L) during early nursery and vegetative stages.</w:t>
              <w:br/>
              <w:t>5. Cultural Prevention Practices: Install 50-mesh insect-proof netting in seedling nurseries; maintain weed-free buffer zones; rogue and burn infected symptomatic plants immediately.</w:t>
            </w:r>
          </w:p>
        </w:tc>
      </w:tr>
    </w:tbl>
    <w:p>
      <w:pPr>
        <w:spacing w:after="80"/>
      </w:pP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909C"/>
        <w:sz w:val="17"/>
      </w:rPr>
      <w:t>Department of Computer Science | B.Sc. CS Dissertation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78909C"/>
        <w:sz w:val="17"/>
      </w:rPr>
      <w:t>Multi-Crop Plant Disease Detection &amp; Advisory System (DPD ViT-Base)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90"/>
      <w:jc w:val="both"/>
    </w:pPr>
    <w:rPr>
      <w:rFonts w:ascii="Calibri" w:hAnsi="Calibri"/>
      <w:color w:val="26323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