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EE2AD" w14:textId="77777777" w:rsidR="00CB66E3" w:rsidRDefault="00000000">
      <w:pPr>
        <w:spacing w:after="60"/>
      </w:pPr>
      <w:r>
        <w:rPr>
          <w:rFonts w:ascii="Arial" w:eastAsia="Arial" w:hAnsi="Arial" w:cs="Arial"/>
          <w:b/>
          <w:bCs/>
          <w:color w:val="1E3A5F"/>
          <w:sz w:val="30"/>
          <w:szCs w:val="30"/>
        </w:rPr>
        <w:t>MalariAI — Planned Improvements &amp; Direction Check</w:t>
      </w:r>
    </w:p>
    <w:p w14:paraId="4F5AEF86" w14:textId="77777777" w:rsidR="00CB66E3" w:rsidRDefault="00000000">
      <w:pPr>
        <w:spacing w:after="60"/>
      </w:pPr>
      <w:r>
        <w:rPr>
          <w:rFonts w:ascii="Arial" w:eastAsia="Arial" w:hAnsi="Arial" w:cs="Arial"/>
          <w:i/>
          <w:iCs/>
          <w:color w:val="4B5563"/>
        </w:rPr>
        <w:t>A structured summary prepared for feedback prior to manuscript revision</w:t>
      </w:r>
    </w:p>
    <w:p w14:paraId="6EA3B800" w14:textId="5EC3D426" w:rsidR="00CB66E3" w:rsidRDefault="00000000">
      <w:pPr>
        <w:spacing w:after="200"/>
      </w:pPr>
      <w:r>
        <w:rPr>
          <w:rFonts w:ascii="Arial" w:eastAsia="Arial" w:hAnsi="Arial" w:cs="Arial"/>
          <w:color w:val="6B7280"/>
          <w:sz w:val="19"/>
          <w:szCs w:val="19"/>
        </w:rPr>
        <w:t xml:space="preserve">Target Journal: </w:t>
      </w:r>
      <w:r w:rsidRPr="00B92761">
        <w:rPr>
          <w:rFonts w:ascii="Arial" w:eastAsia="Arial" w:hAnsi="Arial" w:cs="Arial"/>
          <w:color w:val="6B7280"/>
          <w:sz w:val="19"/>
          <w:szCs w:val="19"/>
          <w:highlight w:val="yellow"/>
        </w:rPr>
        <w:t>Computerized Medical Imaging and Graphics (</w:t>
      </w:r>
      <w:r w:rsidR="00C33D22" w:rsidRPr="00B92761">
        <w:rPr>
          <w:rFonts w:ascii="Arial" w:eastAsia="Arial" w:hAnsi="Arial" w:cs="Arial"/>
          <w:color w:val="6B7280"/>
          <w:sz w:val="19"/>
          <w:szCs w:val="19"/>
          <w:highlight w:val="yellow"/>
        </w:rPr>
        <w:t>CMIG)</w:t>
      </w:r>
      <w:r w:rsidR="00C33D22">
        <w:rPr>
          <w:rFonts w:ascii="Arial" w:eastAsia="Arial" w:hAnsi="Arial" w:cs="Arial"/>
          <w:color w:val="6B7280"/>
          <w:sz w:val="19"/>
          <w:szCs w:val="19"/>
        </w:rPr>
        <w:t xml:space="preserve"> </w:t>
      </w:r>
      <w:r w:rsidR="009A5727">
        <w:rPr>
          <w:rFonts w:ascii="Arial" w:eastAsia="Arial" w:hAnsi="Arial" w:cs="Arial"/>
          <w:color w:val="6B7280"/>
          <w:sz w:val="19"/>
          <w:szCs w:val="19"/>
        </w:rPr>
        <w:t>· May</w:t>
      </w:r>
      <w:r>
        <w:rPr>
          <w:rFonts w:ascii="Arial" w:eastAsia="Arial" w:hAnsi="Arial" w:cs="Arial"/>
          <w:color w:val="6B7280"/>
          <w:sz w:val="19"/>
          <w:szCs w:val="19"/>
        </w:rPr>
        <w:t xml:space="preserve"> 2026</w:t>
      </w:r>
    </w:p>
    <w:p w14:paraId="19D6CD6A" w14:textId="77777777" w:rsidR="00CB66E3" w:rsidRDefault="00CB66E3">
      <w:pPr>
        <w:pBdr>
          <w:bottom w:val="single" w:sz="6" w:space="1" w:color="2563EB"/>
        </w:pBdr>
        <w:spacing w:after="160"/>
      </w:pPr>
    </w:p>
    <w:p w14:paraId="60932742" w14:textId="77777777" w:rsidR="00CB66E3" w:rsidRDefault="00000000">
      <w:pPr>
        <w:spacing w:before="260" w:after="80"/>
      </w:pPr>
      <w:r>
        <w:rPr>
          <w:rFonts w:ascii="Arial" w:eastAsia="Arial" w:hAnsi="Arial" w:cs="Arial"/>
          <w:b/>
          <w:bCs/>
          <w:color w:val="1E3A5F"/>
          <w:sz w:val="24"/>
          <w:szCs w:val="24"/>
        </w:rPr>
        <w:t>1.  What the Paper Argues</w:t>
      </w:r>
    </w:p>
    <w:p w14:paraId="08560152" w14:textId="77777777" w:rsidR="00CB66E3" w:rsidRDefault="00000000" w:rsidP="00A703ED">
      <w:pPr>
        <w:spacing w:after="100"/>
        <w:jc w:val="both"/>
      </w:pPr>
      <w:r>
        <w:rPr>
          <w:rFonts w:ascii="Arial" w:eastAsia="Arial" w:hAnsi="Arial" w:cs="Arial"/>
        </w:rPr>
        <w:t xml:space="preserve">Most malaria cell detection systems treat the problem as closed-world object detection — every cell must be labelled and classified within a single end-to-end network. On the BBBC041 dataset, where a large fraction of RBCs </w:t>
      </w:r>
      <w:proofErr w:type="gramStart"/>
      <w:r>
        <w:rPr>
          <w:rFonts w:ascii="Arial" w:eastAsia="Arial" w:hAnsi="Arial" w:cs="Arial"/>
        </w:rPr>
        <w:t>carry</w:t>
      </w:r>
      <w:proofErr w:type="gramEnd"/>
      <w:r>
        <w:rPr>
          <w:rFonts w:ascii="Arial" w:eastAsia="Arial" w:hAnsi="Arial" w:cs="Arial"/>
        </w:rPr>
        <w:t xml:space="preserve"> no annotation at all, this creates a structural training failure: the network is penalised for correctly detecting cells that should simply be ignored.</w:t>
      </w:r>
    </w:p>
    <w:p w14:paraId="667D614E" w14:textId="77777777" w:rsidR="00CB66E3" w:rsidRDefault="00000000" w:rsidP="00A703ED">
      <w:pPr>
        <w:spacing w:after="100"/>
        <w:jc w:val="both"/>
      </w:pPr>
      <w:r>
        <w:rPr>
          <w:rFonts w:ascii="Arial" w:eastAsia="Arial" w:hAnsi="Arial" w:cs="Arial"/>
        </w:rPr>
        <w:t>The paper's central argument is that decoupling the pipeline — separating where cells are from what they are — eliminates this conflict. Stage 1 (Watershed) recovers all cells regardless of annotation status. Stage 2 (EfficientNet-B0 with Focal Loss) classifies only the recovered crops. This avoids teaching the network to suppress unlabelled but visually healthy cells.</w:t>
      </w:r>
    </w:p>
    <w:p w14:paraId="730AE837" w14:textId="77777777" w:rsidR="00CB66E3" w:rsidRDefault="00000000" w:rsidP="00A703ED">
      <w:pPr>
        <w:spacing w:after="100"/>
        <w:jc w:val="both"/>
      </w:pPr>
      <w:r>
        <w:rPr>
          <w:rFonts w:ascii="Arial" w:eastAsia="Arial" w:hAnsi="Arial" w:cs="Arial"/>
        </w:rPr>
        <w:t>The strongest contribution is not classifier performance. It is the identification of annotation incompleteness as a structural limitation in closed-world detectors applied to dense medical microscopy.</w:t>
      </w:r>
    </w:p>
    <w:p w14:paraId="047B81FE" w14:textId="77777777" w:rsidR="00CB66E3" w:rsidRDefault="00CB66E3">
      <w:pPr>
        <w:spacing w:after="140"/>
      </w:pPr>
    </w:p>
    <w:p w14:paraId="11369211" w14:textId="77777777" w:rsidR="00CB66E3" w:rsidRDefault="00CB66E3">
      <w:pPr>
        <w:pBdr>
          <w:bottom w:val="single" w:sz="6" w:space="1" w:color="2563EB"/>
        </w:pBdr>
        <w:spacing w:after="160"/>
      </w:pPr>
    </w:p>
    <w:p w14:paraId="758E50C4" w14:textId="77777777" w:rsidR="00CB66E3" w:rsidRDefault="00000000">
      <w:pPr>
        <w:spacing w:before="260" w:after="80"/>
      </w:pPr>
      <w:r>
        <w:rPr>
          <w:rFonts w:ascii="Arial" w:eastAsia="Arial" w:hAnsi="Arial" w:cs="Arial"/>
          <w:b/>
          <w:bCs/>
          <w:color w:val="1E3A5F"/>
          <w:sz w:val="24"/>
          <w:szCs w:val="24"/>
        </w:rPr>
        <w:t>2.  Where the Work Currently Stands</w:t>
      </w:r>
    </w:p>
    <w:p w14:paraId="6FBD710D" w14:textId="77777777" w:rsidR="00CB66E3" w:rsidRDefault="00000000">
      <w:pPr>
        <w:spacing w:after="100"/>
      </w:pPr>
      <w:r>
        <w:rPr>
          <w:rFonts w:ascii="Arial" w:eastAsia="Arial" w:hAnsi="Arial" w:cs="Arial"/>
        </w:rPr>
        <w:t>The following components are implemented and producing results:</w:t>
      </w:r>
    </w:p>
    <w:p w14:paraId="51A6F7AF" w14:textId="77777777" w:rsidR="00CB66E3" w:rsidRDefault="00000000">
      <w:pPr>
        <w:pStyle w:val="ListParagraph"/>
        <w:numPr>
          <w:ilvl w:val="0"/>
          <w:numId w:val="2"/>
        </w:numPr>
        <w:spacing w:after="80"/>
      </w:pPr>
      <w:r>
        <w:rPr>
          <w:rFonts w:ascii="Arial" w:eastAsia="Arial" w:hAnsi="Arial" w:cs="Arial"/>
        </w:rPr>
        <w:t>Faster R-CNN baseline trained on 80 epochs (Kaggle), serving as the end-to-end comparison.</w:t>
      </w:r>
    </w:p>
    <w:p w14:paraId="0D78C713" w14:textId="77777777" w:rsidR="00CB66E3" w:rsidRDefault="00000000">
      <w:pPr>
        <w:pStyle w:val="ListParagraph"/>
        <w:numPr>
          <w:ilvl w:val="0"/>
          <w:numId w:val="2"/>
        </w:numPr>
        <w:spacing w:after="80"/>
      </w:pPr>
      <w:r>
        <w:rPr>
          <w:rFonts w:ascii="Arial" w:eastAsia="Arial" w:hAnsi="Arial" w:cs="Arial"/>
        </w:rPr>
        <w:t>Watershed + EfficientNet-B0 pipeline fully functional with Focal Loss training, achieving 97.3% accuracy on crop classification.</w:t>
      </w:r>
    </w:p>
    <w:p w14:paraId="6D79D6DA" w14:textId="77777777" w:rsidR="00CB66E3" w:rsidRDefault="00000000">
      <w:pPr>
        <w:pStyle w:val="ListParagraph"/>
        <w:numPr>
          <w:ilvl w:val="0"/>
          <w:numId w:val="2"/>
        </w:numPr>
        <w:spacing w:after="80"/>
      </w:pPr>
      <w:r>
        <w:rPr>
          <w:rFonts w:ascii="Arial" w:eastAsia="Arial" w:hAnsi="Arial" w:cs="Arial"/>
        </w:rPr>
        <w:t>Grad-CAM++ explainability integrated and generating per-cell activation maps.</w:t>
      </w:r>
    </w:p>
    <w:p w14:paraId="763456D0" w14:textId="77777777" w:rsidR="00CB66E3" w:rsidRDefault="00000000">
      <w:pPr>
        <w:pStyle w:val="ListParagraph"/>
        <w:numPr>
          <w:ilvl w:val="0"/>
          <w:numId w:val="2"/>
        </w:numPr>
        <w:spacing w:after="80"/>
      </w:pPr>
      <w:r>
        <w:rPr>
          <w:rFonts w:ascii="Arial" w:eastAsia="Arial" w:hAnsi="Arial" w:cs="Arial"/>
        </w:rPr>
        <w:t>Flask web application with a clinical-style dashboard for live inference.</w:t>
      </w:r>
    </w:p>
    <w:p w14:paraId="50F35FE0" w14:textId="77777777" w:rsidR="00CB66E3" w:rsidRDefault="00000000">
      <w:pPr>
        <w:pStyle w:val="ListParagraph"/>
        <w:numPr>
          <w:ilvl w:val="0"/>
          <w:numId w:val="2"/>
        </w:numPr>
        <w:spacing w:after="80"/>
      </w:pPr>
      <w:r>
        <w:rPr>
          <w:rFonts w:ascii="Arial" w:eastAsia="Arial" w:hAnsi="Arial" w:cs="Arial"/>
        </w:rPr>
        <w:t>Manuscript drafted and structured for CMIG submission.</w:t>
      </w:r>
    </w:p>
    <w:p w14:paraId="23B1E706" w14:textId="77777777" w:rsidR="00CB66E3" w:rsidRDefault="00CB66E3">
      <w:pPr>
        <w:spacing w:after="140"/>
      </w:pPr>
    </w:p>
    <w:p w14:paraId="7AF89210" w14:textId="77777777" w:rsidR="00CB66E3" w:rsidRDefault="00CB66E3">
      <w:pPr>
        <w:pBdr>
          <w:bottom w:val="single" w:sz="6" w:space="1" w:color="2563EB"/>
        </w:pBdr>
        <w:spacing w:after="160"/>
      </w:pPr>
    </w:p>
    <w:p w14:paraId="2D087B8E" w14:textId="77777777" w:rsidR="00CB66E3" w:rsidRDefault="00000000">
      <w:pPr>
        <w:spacing w:before="260" w:after="80"/>
      </w:pPr>
      <w:r>
        <w:rPr>
          <w:rFonts w:ascii="Arial" w:eastAsia="Arial" w:hAnsi="Arial" w:cs="Arial"/>
          <w:b/>
          <w:bCs/>
          <w:color w:val="1E3A5F"/>
          <w:sz w:val="24"/>
          <w:szCs w:val="24"/>
        </w:rPr>
        <w:t>3.  Four Planned Improvements</w:t>
      </w:r>
    </w:p>
    <w:p w14:paraId="3978C749" w14:textId="39EF3B00" w:rsidR="00CB66E3" w:rsidRDefault="00000000">
      <w:pPr>
        <w:spacing w:before="160" w:after="60"/>
      </w:pPr>
      <w:r>
        <w:rPr>
          <w:rFonts w:ascii="Arial" w:eastAsia="Arial" w:hAnsi="Arial" w:cs="Arial"/>
          <w:b/>
          <w:bCs/>
          <w:color w:val="1E3A5F"/>
          <w:sz w:val="21"/>
          <w:szCs w:val="21"/>
        </w:rPr>
        <w:t xml:space="preserve">1.  End-to-end evaluation </w:t>
      </w:r>
      <w:r w:rsidR="006515EC">
        <w:rPr>
          <w:rFonts w:ascii="Arial" w:eastAsia="Arial" w:hAnsi="Arial" w:cs="Arial"/>
          <w:b/>
          <w:bCs/>
          <w:color w:val="1E3A5F"/>
          <w:sz w:val="21"/>
          <w:szCs w:val="21"/>
        </w:rPr>
        <w:t>framework</w:t>
      </w:r>
      <w:r w:rsidR="006515EC">
        <w:rPr>
          <w:rFonts w:ascii="Arial" w:eastAsia="Arial" w:hAnsi="Arial" w:cs="Arial"/>
          <w:b/>
          <w:bCs/>
          <w:color w:val="DC2626"/>
          <w:sz w:val="19"/>
          <w:szCs w:val="19"/>
        </w:rPr>
        <w:t xml:space="preserve"> [</w:t>
      </w:r>
      <w:r>
        <w:rPr>
          <w:rFonts w:ascii="Arial" w:eastAsia="Arial" w:hAnsi="Arial" w:cs="Arial"/>
          <w:b/>
          <w:bCs/>
          <w:color w:val="DC2626"/>
          <w:sz w:val="19"/>
          <w:szCs w:val="19"/>
        </w:rPr>
        <w:t>Critical priority]</w:t>
      </w:r>
    </w:p>
    <w:p w14:paraId="6982070C" w14:textId="77777777" w:rsidR="00CB66E3" w:rsidRDefault="00000000" w:rsidP="00D279B0">
      <w:pPr>
        <w:spacing w:after="100"/>
        <w:jc w:val="both"/>
      </w:pPr>
      <w:r>
        <w:rPr>
          <w:rFonts w:ascii="Arial" w:eastAsia="Arial" w:hAnsi="Arial" w:cs="Arial"/>
        </w:rPr>
        <w:t xml:space="preserve">Currently the paper compares Faster R-CNN (detection </w:t>
      </w:r>
      <w:proofErr w:type="spellStart"/>
      <w:r>
        <w:rPr>
          <w:rFonts w:ascii="Arial" w:eastAsia="Arial" w:hAnsi="Arial" w:cs="Arial"/>
        </w:rPr>
        <w:t>mAP</w:t>
      </w:r>
      <w:proofErr w:type="spellEnd"/>
      <w:r>
        <w:rPr>
          <w:rFonts w:ascii="Arial" w:eastAsia="Arial" w:hAnsi="Arial" w:cs="Arial"/>
        </w:rPr>
        <w:t xml:space="preserve">) against Pipeline B (crop classification accuracy). These metrics measure different tasks, and a CMIG reviewer will flag this immediately. The fix requires implementing </w:t>
      </w:r>
      <w:proofErr w:type="spellStart"/>
      <w:r>
        <w:rPr>
          <w:rFonts w:ascii="Arial" w:eastAsia="Arial" w:hAnsi="Arial" w:cs="Arial"/>
        </w:rPr>
        <w:t>IoU</w:t>
      </w:r>
      <w:proofErr w:type="spellEnd"/>
      <w:r>
        <w:rPr>
          <w:rFonts w:ascii="Arial" w:eastAsia="Arial" w:hAnsi="Arial" w:cs="Arial"/>
        </w:rPr>
        <w:t xml:space="preserve">-based box matching between watershed regions and ground truth, propagating Stage 2 class labels, and computing end-to-end AP@0.5, </w:t>
      </w:r>
      <w:proofErr w:type="spellStart"/>
      <w:r>
        <w:rPr>
          <w:rFonts w:ascii="Arial" w:eastAsia="Arial" w:hAnsi="Arial" w:cs="Arial"/>
        </w:rPr>
        <w:t>mAP</w:t>
      </w:r>
      <w:proofErr w:type="spellEnd"/>
      <w:r>
        <w:rPr>
          <w:rFonts w:ascii="Arial" w:eastAsia="Arial" w:hAnsi="Arial" w:cs="Arial"/>
        </w:rPr>
        <w:t>, precision, recall, F1, and PR curves. This is the most technically involved improvement but also the most important one.</w:t>
      </w:r>
    </w:p>
    <w:p w14:paraId="3C5534CC" w14:textId="0EC414A6" w:rsidR="00CB66E3" w:rsidRDefault="00000000">
      <w:pPr>
        <w:spacing w:before="160" w:after="60"/>
      </w:pPr>
      <w:r>
        <w:rPr>
          <w:rFonts w:ascii="Arial" w:eastAsia="Arial" w:hAnsi="Arial" w:cs="Arial"/>
          <w:b/>
          <w:bCs/>
          <w:color w:val="1E3A5F"/>
          <w:sz w:val="21"/>
          <w:szCs w:val="21"/>
        </w:rPr>
        <w:t xml:space="preserve">2.  Stage 1 segmentation </w:t>
      </w:r>
      <w:r w:rsidR="006515EC">
        <w:rPr>
          <w:rFonts w:ascii="Arial" w:eastAsia="Arial" w:hAnsi="Arial" w:cs="Arial"/>
          <w:b/>
          <w:bCs/>
          <w:color w:val="1E3A5F"/>
          <w:sz w:val="21"/>
          <w:szCs w:val="21"/>
        </w:rPr>
        <w:t>strengthening</w:t>
      </w:r>
      <w:r w:rsidR="006515EC">
        <w:rPr>
          <w:rFonts w:ascii="Arial" w:eastAsia="Arial" w:hAnsi="Arial" w:cs="Arial"/>
          <w:b/>
          <w:bCs/>
          <w:color w:val="D97706"/>
          <w:sz w:val="19"/>
          <w:szCs w:val="19"/>
        </w:rPr>
        <w:t xml:space="preserve"> [</w:t>
      </w:r>
      <w:r>
        <w:rPr>
          <w:rFonts w:ascii="Arial" w:eastAsia="Arial" w:hAnsi="Arial" w:cs="Arial"/>
          <w:b/>
          <w:bCs/>
          <w:color w:val="D97706"/>
          <w:sz w:val="19"/>
          <w:szCs w:val="19"/>
        </w:rPr>
        <w:t>High priority]</w:t>
      </w:r>
    </w:p>
    <w:p w14:paraId="2BD73CFE" w14:textId="77777777" w:rsidR="00CB66E3" w:rsidRDefault="00000000" w:rsidP="00D279B0">
      <w:pPr>
        <w:spacing w:after="100"/>
        <w:jc w:val="both"/>
      </w:pPr>
      <w:r>
        <w:rPr>
          <w:rFonts w:ascii="Arial" w:eastAsia="Arial" w:hAnsi="Arial" w:cs="Arial"/>
        </w:rPr>
        <w:t>The current Otsu + Watershed approach struggles with pale RBCs and dense cell clusters. The plan is to test adaptive thresholding (Gaussian, Sauvola), multi-channel preprocessing (HSV/LAB), and improved seed generation via distance-transform tuning. The goal is to push Stage 1 cell recovery beyond 80% before end-to-end evaluation is run.</w:t>
      </w:r>
    </w:p>
    <w:p w14:paraId="7B4BAFAA" w14:textId="529E8999" w:rsidR="00CB66E3" w:rsidRDefault="00000000">
      <w:pPr>
        <w:spacing w:before="160" w:after="60"/>
      </w:pPr>
      <w:r>
        <w:rPr>
          <w:rFonts w:ascii="Arial" w:eastAsia="Arial" w:hAnsi="Arial" w:cs="Arial"/>
          <w:b/>
          <w:bCs/>
          <w:color w:val="1E3A5F"/>
          <w:sz w:val="21"/>
          <w:szCs w:val="21"/>
        </w:rPr>
        <w:t xml:space="preserve">3.  Cross-dataset external </w:t>
      </w:r>
      <w:r w:rsidR="006515EC">
        <w:rPr>
          <w:rFonts w:ascii="Arial" w:eastAsia="Arial" w:hAnsi="Arial" w:cs="Arial"/>
          <w:b/>
          <w:bCs/>
          <w:color w:val="1E3A5F"/>
          <w:sz w:val="21"/>
          <w:szCs w:val="21"/>
        </w:rPr>
        <w:t>validation</w:t>
      </w:r>
      <w:r w:rsidR="006515EC">
        <w:rPr>
          <w:rFonts w:ascii="Arial" w:eastAsia="Arial" w:hAnsi="Arial" w:cs="Arial"/>
          <w:b/>
          <w:bCs/>
          <w:color w:val="D97706"/>
          <w:sz w:val="19"/>
          <w:szCs w:val="19"/>
        </w:rPr>
        <w:t xml:space="preserve"> [</w:t>
      </w:r>
      <w:r>
        <w:rPr>
          <w:rFonts w:ascii="Arial" w:eastAsia="Arial" w:hAnsi="Arial" w:cs="Arial"/>
          <w:b/>
          <w:bCs/>
          <w:color w:val="D97706"/>
          <w:sz w:val="19"/>
          <w:szCs w:val="19"/>
        </w:rPr>
        <w:t>High priority]</w:t>
      </w:r>
    </w:p>
    <w:p w14:paraId="219F1355" w14:textId="77777777" w:rsidR="00CB66E3" w:rsidRDefault="00000000" w:rsidP="00D279B0">
      <w:pPr>
        <w:spacing w:after="100"/>
        <w:jc w:val="both"/>
      </w:pPr>
      <w:r>
        <w:rPr>
          <w:rFonts w:ascii="Arial" w:eastAsia="Arial" w:hAnsi="Arial" w:cs="Arial"/>
        </w:rPr>
        <w:t xml:space="preserve">The paper currently evaluates exclusively on BBBC041 (NIH, Giemsa-stained thin smears). Medical imaging reviewers consistently ask about stain variation, domain shift, and field conditions. Adding at least one external dataset — MGG-stained slides, thick smears, or field-captured images — would move the contribution from a strong benchmark result to a genuinely </w:t>
      </w:r>
      <w:proofErr w:type="spellStart"/>
      <w:r>
        <w:rPr>
          <w:rFonts w:ascii="Arial" w:eastAsia="Arial" w:hAnsi="Arial" w:cs="Arial"/>
        </w:rPr>
        <w:t>generalisable</w:t>
      </w:r>
      <w:proofErr w:type="spellEnd"/>
      <w:r>
        <w:rPr>
          <w:rFonts w:ascii="Arial" w:eastAsia="Arial" w:hAnsi="Arial" w:cs="Arial"/>
        </w:rPr>
        <w:t xml:space="preserve"> method.</w:t>
      </w:r>
    </w:p>
    <w:p w14:paraId="6EB5600B" w14:textId="0EEF3011" w:rsidR="00CB66E3" w:rsidRDefault="00000000">
      <w:pPr>
        <w:spacing w:before="160" w:after="60"/>
      </w:pPr>
      <w:r>
        <w:rPr>
          <w:rFonts w:ascii="Arial" w:eastAsia="Arial" w:hAnsi="Arial" w:cs="Arial"/>
          <w:b/>
          <w:bCs/>
          <w:color w:val="1E3A5F"/>
          <w:sz w:val="21"/>
          <w:szCs w:val="21"/>
        </w:rPr>
        <w:lastRenderedPageBreak/>
        <w:t xml:space="preserve">4.  Clinical audit of Grad-CAM++ </w:t>
      </w:r>
      <w:r w:rsidR="006515EC">
        <w:rPr>
          <w:rFonts w:ascii="Arial" w:eastAsia="Arial" w:hAnsi="Arial" w:cs="Arial"/>
          <w:b/>
          <w:bCs/>
          <w:color w:val="1E3A5F"/>
          <w:sz w:val="21"/>
          <w:szCs w:val="21"/>
        </w:rPr>
        <w:t>outputs</w:t>
      </w:r>
      <w:r w:rsidR="006515EC">
        <w:rPr>
          <w:rFonts w:ascii="Arial" w:eastAsia="Arial" w:hAnsi="Arial" w:cs="Arial"/>
          <w:b/>
          <w:bCs/>
          <w:color w:val="059669"/>
          <w:sz w:val="19"/>
          <w:szCs w:val="19"/>
        </w:rPr>
        <w:t xml:space="preserve"> [</w:t>
      </w:r>
      <w:r>
        <w:rPr>
          <w:rFonts w:ascii="Arial" w:eastAsia="Arial" w:hAnsi="Arial" w:cs="Arial"/>
          <w:b/>
          <w:bCs/>
          <w:color w:val="059669"/>
          <w:sz w:val="19"/>
          <w:szCs w:val="19"/>
        </w:rPr>
        <w:t>Collaboration opportunity]</w:t>
      </w:r>
    </w:p>
    <w:p w14:paraId="3F3280BB" w14:textId="77777777" w:rsidR="00CB66E3" w:rsidRDefault="00000000" w:rsidP="00D279B0">
      <w:pPr>
        <w:spacing w:after="100"/>
        <w:jc w:val="both"/>
      </w:pPr>
      <w:r>
        <w:rPr>
          <w:rFonts w:ascii="Arial" w:eastAsia="Arial" w:hAnsi="Arial" w:cs="Arial"/>
        </w:rPr>
        <w:t>The current Grad-CAM++ section demonstrates that model activations are algorithmically plausible. A qualitative audit by experienced microscopists — even 2 or 3 reviewers assessing whether the heatmaps correspond to known parasite morphology — would strengthen the explainability claim in a way that pure algorithmic comparison cannot. This is where biomedical engineering domain expertise would be especially valuable, both in designing the audit and in interpreting the clinical meaning of the results.</w:t>
      </w:r>
    </w:p>
    <w:p w14:paraId="0F814DCB" w14:textId="77777777" w:rsidR="00CB66E3" w:rsidRDefault="00CB66E3">
      <w:pPr>
        <w:spacing w:after="140"/>
      </w:pPr>
    </w:p>
    <w:p w14:paraId="6E921FA3" w14:textId="77777777" w:rsidR="00CB66E3" w:rsidRDefault="00CB66E3">
      <w:pPr>
        <w:pBdr>
          <w:bottom w:val="single" w:sz="6" w:space="1" w:color="2563EB"/>
        </w:pBdr>
        <w:spacing w:after="160"/>
      </w:pPr>
    </w:p>
    <w:p w14:paraId="76D4A793" w14:textId="77777777" w:rsidR="00CB66E3" w:rsidRDefault="00000000">
      <w:pPr>
        <w:spacing w:before="260" w:after="80"/>
      </w:pPr>
      <w:r>
        <w:rPr>
          <w:rFonts w:ascii="Arial" w:eastAsia="Arial" w:hAnsi="Arial" w:cs="Arial"/>
          <w:b/>
          <w:bCs/>
          <w:color w:val="1E3A5F"/>
          <w:sz w:val="24"/>
          <w:szCs w:val="24"/>
        </w:rPr>
        <w:t>4.  Two Specific Questions</w:t>
      </w:r>
    </w:p>
    <w:p w14:paraId="572D99E1" w14:textId="77777777" w:rsidR="00CB66E3" w:rsidRDefault="00000000">
      <w:pPr>
        <w:spacing w:after="100"/>
      </w:pPr>
      <w:r>
        <w:rPr>
          <w:rFonts w:ascii="Arial" w:eastAsia="Arial" w:hAnsi="Arial" w:cs="Arial"/>
        </w:rPr>
        <w:t>The paper and this plan are shared with one purpose: to get a direction check before investing further time in the wrong experiments.</w:t>
      </w:r>
    </w:p>
    <w:p w14:paraId="0B7520BD" w14:textId="77777777" w:rsidR="00CB66E3" w:rsidRDefault="00CB66E3">
      <w:pPr>
        <w:spacing w:after="80"/>
      </w:pPr>
    </w:p>
    <w:p w14:paraId="27759787" w14:textId="77777777" w:rsidR="00CB66E3" w:rsidRDefault="00000000">
      <w:pPr>
        <w:spacing w:after="100"/>
      </w:pPr>
      <w:r>
        <w:rPr>
          <w:rFonts w:ascii="Arial" w:eastAsia="Arial" w:hAnsi="Arial" w:cs="Arial"/>
          <w:b/>
          <w:bCs/>
          <w:color w:val="1E3A5F"/>
        </w:rPr>
        <w:t>Q</w:t>
      </w:r>
      <w:proofErr w:type="gramStart"/>
      <w:r>
        <w:rPr>
          <w:rFonts w:ascii="Arial" w:eastAsia="Arial" w:hAnsi="Arial" w:cs="Arial"/>
          <w:b/>
          <w:bCs/>
          <w:color w:val="1E3A5F"/>
        </w:rPr>
        <w:t xml:space="preserve">1  </w:t>
      </w:r>
      <w:r>
        <w:rPr>
          <w:rFonts w:ascii="Arial" w:eastAsia="Arial" w:hAnsi="Arial" w:cs="Arial"/>
        </w:rPr>
        <w:t>Is</w:t>
      </w:r>
      <w:proofErr w:type="gramEnd"/>
      <w:r>
        <w:rPr>
          <w:rFonts w:ascii="Arial" w:eastAsia="Arial" w:hAnsi="Arial" w:cs="Arial"/>
        </w:rPr>
        <w:t xml:space="preserve"> the scientific direction sound — specifically, is the annotation-incompleteness argument a contribution that CMIG reviewers would take seriously, or does it need to be repositioned?</w:t>
      </w:r>
    </w:p>
    <w:p w14:paraId="6542D79A" w14:textId="77777777" w:rsidR="00CB66E3" w:rsidRDefault="00000000">
      <w:pPr>
        <w:spacing w:after="160"/>
      </w:pPr>
      <w:r>
        <w:rPr>
          <w:rFonts w:ascii="Arial" w:eastAsia="Arial" w:hAnsi="Arial" w:cs="Arial"/>
          <w:b/>
          <w:bCs/>
          <w:color w:val="1E3A5F"/>
        </w:rPr>
        <w:t>Q</w:t>
      </w:r>
      <w:proofErr w:type="gramStart"/>
      <w:r>
        <w:rPr>
          <w:rFonts w:ascii="Arial" w:eastAsia="Arial" w:hAnsi="Arial" w:cs="Arial"/>
          <w:b/>
          <w:bCs/>
          <w:color w:val="1E3A5F"/>
        </w:rPr>
        <w:t xml:space="preserve">2  </w:t>
      </w:r>
      <w:r>
        <w:rPr>
          <w:rFonts w:ascii="Arial" w:eastAsia="Arial" w:hAnsi="Arial" w:cs="Arial"/>
        </w:rPr>
        <w:t>Given</w:t>
      </w:r>
      <w:proofErr w:type="gramEnd"/>
      <w:r>
        <w:rPr>
          <w:rFonts w:ascii="Arial" w:eastAsia="Arial" w:hAnsi="Arial" w:cs="Arial"/>
        </w:rPr>
        <w:t xml:space="preserve"> the current pace of foundation model development (SAM, </w:t>
      </w:r>
      <w:proofErr w:type="spellStart"/>
      <w:r>
        <w:rPr>
          <w:rFonts w:ascii="Arial" w:eastAsia="Arial" w:hAnsi="Arial" w:cs="Arial"/>
        </w:rPr>
        <w:t>MedSAM</w:t>
      </w:r>
      <w:proofErr w:type="spellEnd"/>
      <w:r>
        <w:rPr>
          <w:rFonts w:ascii="Arial" w:eastAsia="Arial" w:hAnsi="Arial" w:cs="Arial"/>
        </w:rPr>
        <w:t>, etc.), is this paper still impactful enough for CMIG, or should the target journal or positioning be reconsidered?</w:t>
      </w:r>
    </w:p>
    <w:p w14:paraId="3E94F951" w14:textId="2EAFA4A3" w:rsidR="00CB66E3" w:rsidRDefault="00CB66E3">
      <w:pPr>
        <w:spacing w:after="60"/>
      </w:pPr>
    </w:p>
    <w:sectPr w:rsidR="00CB66E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17022"/>
    <w:multiLevelType w:val="hybridMultilevel"/>
    <w:tmpl w:val="44CCD23A"/>
    <w:lvl w:ilvl="0" w:tplc="BB6224E4">
      <w:start w:val="1"/>
      <w:numFmt w:val="bullet"/>
      <w:lvlText w:val="–"/>
      <w:lvlJc w:val="left"/>
      <w:pPr>
        <w:ind w:left="480" w:hanging="240"/>
      </w:pPr>
    </w:lvl>
    <w:lvl w:ilvl="1" w:tplc="A3047692">
      <w:numFmt w:val="decimal"/>
      <w:lvlText w:val=""/>
      <w:lvlJc w:val="left"/>
    </w:lvl>
    <w:lvl w:ilvl="2" w:tplc="20FE10FE">
      <w:numFmt w:val="decimal"/>
      <w:lvlText w:val=""/>
      <w:lvlJc w:val="left"/>
    </w:lvl>
    <w:lvl w:ilvl="3" w:tplc="3E128E82">
      <w:numFmt w:val="decimal"/>
      <w:lvlText w:val=""/>
      <w:lvlJc w:val="left"/>
    </w:lvl>
    <w:lvl w:ilvl="4" w:tplc="8000EFDE">
      <w:numFmt w:val="decimal"/>
      <w:lvlText w:val=""/>
      <w:lvlJc w:val="left"/>
    </w:lvl>
    <w:lvl w:ilvl="5" w:tplc="B2E2FDC0">
      <w:numFmt w:val="decimal"/>
      <w:lvlText w:val=""/>
      <w:lvlJc w:val="left"/>
    </w:lvl>
    <w:lvl w:ilvl="6" w:tplc="488A627E">
      <w:numFmt w:val="decimal"/>
      <w:lvlText w:val=""/>
      <w:lvlJc w:val="left"/>
    </w:lvl>
    <w:lvl w:ilvl="7" w:tplc="DFBA818C">
      <w:numFmt w:val="decimal"/>
      <w:lvlText w:val=""/>
      <w:lvlJc w:val="left"/>
    </w:lvl>
    <w:lvl w:ilvl="8" w:tplc="35401F16">
      <w:numFmt w:val="decimal"/>
      <w:lvlText w:val=""/>
      <w:lvlJc w:val="left"/>
    </w:lvl>
  </w:abstractNum>
  <w:abstractNum w:abstractNumId="1" w15:restartNumberingAfterBreak="0">
    <w:nsid w:val="709E36B2"/>
    <w:multiLevelType w:val="hybridMultilevel"/>
    <w:tmpl w:val="3EC455DC"/>
    <w:lvl w:ilvl="0" w:tplc="579A0CF6">
      <w:start w:val="1"/>
      <w:numFmt w:val="bullet"/>
      <w:lvlText w:val="●"/>
      <w:lvlJc w:val="left"/>
      <w:pPr>
        <w:ind w:left="720" w:hanging="360"/>
      </w:pPr>
    </w:lvl>
    <w:lvl w:ilvl="1" w:tplc="803AA0C4">
      <w:start w:val="1"/>
      <w:numFmt w:val="bullet"/>
      <w:lvlText w:val="○"/>
      <w:lvlJc w:val="left"/>
      <w:pPr>
        <w:ind w:left="1440" w:hanging="360"/>
      </w:pPr>
    </w:lvl>
    <w:lvl w:ilvl="2" w:tplc="F33AA5A4">
      <w:start w:val="1"/>
      <w:numFmt w:val="bullet"/>
      <w:lvlText w:val="■"/>
      <w:lvlJc w:val="left"/>
      <w:pPr>
        <w:ind w:left="2160" w:hanging="360"/>
      </w:pPr>
    </w:lvl>
    <w:lvl w:ilvl="3" w:tplc="15B2BEE0">
      <w:start w:val="1"/>
      <w:numFmt w:val="bullet"/>
      <w:lvlText w:val="●"/>
      <w:lvlJc w:val="left"/>
      <w:pPr>
        <w:ind w:left="2880" w:hanging="360"/>
      </w:pPr>
    </w:lvl>
    <w:lvl w:ilvl="4" w:tplc="3BC44786">
      <w:start w:val="1"/>
      <w:numFmt w:val="bullet"/>
      <w:lvlText w:val="○"/>
      <w:lvlJc w:val="left"/>
      <w:pPr>
        <w:ind w:left="3600" w:hanging="360"/>
      </w:pPr>
    </w:lvl>
    <w:lvl w:ilvl="5" w:tplc="6090EAFE">
      <w:start w:val="1"/>
      <w:numFmt w:val="bullet"/>
      <w:lvlText w:val="■"/>
      <w:lvlJc w:val="left"/>
      <w:pPr>
        <w:ind w:left="4320" w:hanging="360"/>
      </w:pPr>
    </w:lvl>
    <w:lvl w:ilvl="6" w:tplc="B64C12D4">
      <w:start w:val="1"/>
      <w:numFmt w:val="bullet"/>
      <w:lvlText w:val="●"/>
      <w:lvlJc w:val="left"/>
      <w:pPr>
        <w:ind w:left="5040" w:hanging="360"/>
      </w:pPr>
    </w:lvl>
    <w:lvl w:ilvl="7" w:tplc="D660B6FC">
      <w:start w:val="1"/>
      <w:numFmt w:val="bullet"/>
      <w:lvlText w:val="●"/>
      <w:lvlJc w:val="left"/>
      <w:pPr>
        <w:ind w:left="5760" w:hanging="360"/>
      </w:pPr>
    </w:lvl>
    <w:lvl w:ilvl="8" w:tplc="513E3F06">
      <w:start w:val="1"/>
      <w:numFmt w:val="bullet"/>
      <w:lvlText w:val="●"/>
      <w:lvlJc w:val="left"/>
      <w:pPr>
        <w:ind w:left="6480" w:hanging="360"/>
      </w:pPr>
    </w:lvl>
  </w:abstractNum>
  <w:num w:numId="1" w16cid:durableId="578559897">
    <w:abstractNumId w:val="1"/>
    <w:lvlOverride w:ilvl="0">
      <w:startOverride w:val="1"/>
    </w:lvlOverride>
  </w:num>
  <w:num w:numId="2" w16cid:durableId="738670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6E3"/>
    <w:rsid w:val="000C25BF"/>
    <w:rsid w:val="006515EC"/>
    <w:rsid w:val="009A5727"/>
    <w:rsid w:val="00A703ED"/>
    <w:rsid w:val="00B92761"/>
    <w:rsid w:val="00C33D22"/>
    <w:rsid w:val="00CB405E"/>
    <w:rsid w:val="00CB66E3"/>
    <w:rsid w:val="00D279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37D99"/>
  <w15:docId w15:val="{84B15F76-41A7-424B-88C8-44C00C1B2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631</Words>
  <Characters>3603</Characters>
  <Application>Microsoft Office Word</Application>
  <DocSecurity>0</DocSecurity>
  <Lines>30</Lines>
  <Paragraphs>8</Paragraphs>
  <ScaleCrop>false</ScaleCrop>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Kaysarul Anas Apurba</cp:lastModifiedBy>
  <cp:revision>7</cp:revision>
  <dcterms:created xsi:type="dcterms:W3CDTF">2026-05-14T22:32:00Z</dcterms:created>
  <dcterms:modified xsi:type="dcterms:W3CDTF">2026-05-14T23:04:00Z</dcterms:modified>
</cp:coreProperties>
</file>