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Author Replies - Submission 8722 (SciRet)</w:t>
      </w:r>
    </w:p>
    <w:p>
      <w:pPr>
        <w:spacing w:after="150"/>
      </w:pPr>
      <w:r>
        <w:rPr>
          <w:b w:val="false"/>
          <w:bCs w:val="false"/>
          <w:i/>
          <w:iCs/>
        </w:rPr>
        <w:t xml:space="preserve">Three separate replies below, one per reviewer. Post each inside that reviewer's own review thread using the "Official Comment" button - do not paste this heading/title text itself.</w:t>
      </w:r>
    </w:p>
    <w:p>
      <w:pPr>
        <w:pBdr>
          <w:bottom w:val="single" w:color="999999" w:sz="6"/>
        </w:pBdr>
        <w:spacing w:after="200"/>
      </w:pPr>
    </w:p>
    <w:p>
      <w:pPr>
        <w:pStyle w:val="Heading1"/>
        <w:spacing w:after="150" w:before="300"/>
      </w:pPr>
      <w:r>
        <w:t xml:space="preserve">Reply to Reviewer 5KS8</w:t>
      </w:r>
    </w:p>
    <w:p>
      <w:pPr>
        <w:spacing w:after="150"/>
      </w:pPr>
      <w:r>
        <w:rPr>
          <w:b w:val="false"/>
          <w:bCs w:val="false"/>
          <w:i w:val="false"/>
          <w:iCs w:val="false"/>
        </w:rPr>
        <w:t xml:space="preserve">Thank you for the careful reading and the specific, checkable questions - they helped us spot exactly what to clarify.</w:t>
      </w:r>
    </w:p>
    <w:p>
      <w:pPr>
        <w:pStyle w:val="Heading2"/>
        <w:spacing w:after="100" w:before="200"/>
      </w:pPr>
      <w:r>
        <w:t xml:space="preserve">Label construction across scales</w:t>
      </w:r>
    </w:p>
    <w:p>
      <w:pPr>
        <w:spacing w:after="150"/>
      </w:pPr>
      <w:r>
        <w:rPr>
          <w:b w:val="false"/>
          <w:bCs w:val="false"/>
          <w:i w:val="false"/>
          <w:iCs w:val="false"/>
        </w:rPr>
        <w:t xml:space="preserve">Pseudo-relevance labels were built once, using the 15K-scale hybrid system's top-3 results per query, and held fixed across all three scales. At 1K and 5K, the smaller subset corpora do not contain all three of a query's labeled documents, so the effective relevant set can be fewer than 3 - this is why hybrid R@3 is below 1.0 at those scales rather than 1.0 everywhere. We will add this explanation explicitly to Section 3.4.</w:t>
      </w:r>
    </w:p>
    <w:p>
      <w:pPr>
        <w:pStyle w:val="Heading2"/>
        <w:spacing w:after="100" w:before="200"/>
      </w:pPr>
      <w:r>
        <w:t xml:space="preserve">Query sourcing, overlap, and topical skew</w:t>
      </w:r>
    </w:p>
    <w:p>
      <w:pPr>
        <w:spacing w:after="150"/>
      </w:pPr>
      <w:r>
        <w:rPr>
          <w:b w:val="false"/>
          <w:bCs w:val="false"/>
          <w:i w:val="false"/>
          <w:iCs w:val="false"/>
        </w:rPr>
        <w:t xml:space="preserve">The 15 queries were developed iteratively during pipeline development to span clinical, epidemiological, and treatment themes in COVID-19 science communication (Appendix E); we did not run a formal check for sparse- vs. dense-friendly phrasing skew on this specific set.</w:t>
      </w:r>
    </w:p>
    <w:p>
      <w:pPr>
        <w:spacing w:after="150"/>
      </w:pPr>
      <w:r>
        <w:rPr>
          <w:b w:val="false"/>
          <w:bCs w:val="false"/>
          <w:i w:val="false"/>
          <w:iCs w:val="false"/>
        </w:rPr>
        <w:t xml:space="preserve">The same 15 queries are used at all three scales - only the corpus changes - which is what makes the cross-scale comparison controlled. In the revision, we are expanding to a stratified 50-query set balanced across six themes (imaging, molecular/mechanistic, clinical outcomes, treatment, methodology, and cross-domain synthesis) specifically so topical coverage and balance are checkable rather than asserted.</w:t>
      </w:r>
    </w:p>
    <w:p>
      <w:pPr>
        <w:pStyle w:val="Heading2"/>
        <w:spacing w:after="100" w:before="200"/>
      </w:pPr>
      <w:r>
        <w:t xml:space="preserve">On label circularity generally</w:t>
      </w:r>
    </w:p>
    <w:p>
      <w:pPr>
        <w:spacing w:after="150"/>
      </w:pPr>
      <w:r>
        <w:rPr>
          <w:b w:val="false"/>
          <w:bCs w:val="false"/>
          <w:i w:val="false"/>
          <w:iCs w:val="false"/>
        </w:rPr>
        <w:t xml:space="preserve">We agree this is a real limitation and disclose it directly in Sections 3.4, 5, and 6. As one external anchor, we will add a TREC-COVID qrel overlap check for a subset of queries in the revision.</w:t>
      </w:r>
    </w:p>
    <w:p>
      <w:pPr>
        <w:spacing w:after="150"/>
      </w:pPr>
      <w:r>
        <w:rPr>
          <w:b w:val="false"/>
          <w:bCs w:val="false"/>
          <w:i/>
          <w:iCs/>
        </w:rPr>
        <w:t xml:space="preserve">We're glad the soundness and excitement ratings reflect the paper's core contribution, and hope the above closes the remaining gap.</w:t>
      </w:r>
    </w:p>
    <w:p>
      <w:pPr>
        <w:pBdr>
          <w:bottom w:val="single" w:color="999999" w:sz="6"/>
        </w:pBdr>
        <w:spacing w:after="200"/>
      </w:pPr>
    </w:p>
    <w:p>
      <w:pPr>
        <w:pStyle w:val="Heading1"/>
        <w:spacing w:after="150" w:before="300"/>
      </w:pPr>
      <w:r>
        <w:t xml:space="preserve">Reply to Reviewer SPUz</w:t>
      </w:r>
    </w:p>
    <w:p>
      <w:pPr>
        <w:spacing w:after="150"/>
      </w:pPr>
      <w:r>
        <w:rPr>
          <w:b w:val="false"/>
          <w:bCs w:val="false"/>
          <w:i w:val="false"/>
          <w:iCs w:val="false"/>
        </w:rPr>
        <w:t xml:space="preserve">Thank you for the thorough review and the itemized list of typos and artifacts - we will fix all of them: the "retrieval- augmented generation" spacing in the abstract, the "text[[115, 873, 486, 919]...]" notebook-output artifact, the "and 1 others" citation formatting, and the rest.</w:t>
      </w:r>
    </w:p>
    <w:p>
      <w:pPr>
        <w:pStyle w:val="Heading2"/>
        <w:spacing w:after="100" w:before="200"/>
      </w:pPr>
      <w:r>
        <w:t xml:space="preserve">Paper type and scope</w:t>
      </w:r>
    </w:p>
    <w:p>
      <w:pPr>
        <w:spacing w:after="150"/>
      </w:pPr>
      <w:r>
        <w:rPr>
          <w:b w:val="false"/>
          <w:bCs w:val="false"/>
          <w:i w:val="false"/>
          <w:iCs w:val="false"/>
        </w:rPr>
        <w:t xml:space="preserve">We submitted under the short paper track by design: a controlled empirical comparison rather than a new method. The three contributions - the multi-scale hybrid-retrieval finding, the negative reranking result, and the compute-budget guidance (Appendix G) - are intentionally evaluation-focused rather than modeling-focused, and we'll make that framing a little more explicit up front.</w:t>
      </w:r>
    </w:p>
    <w:p>
      <w:pPr>
        <w:pStyle w:val="Heading2"/>
        <w:spacing w:after="100" w:before="200"/>
      </w:pPr>
      <w:r>
        <w:t xml:space="preserve">Context precision (0.095-0.122)</w:t>
      </w:r>
    </w:p>
    <w:p>
      <w:pPr>
        <w:spacing w:after="150"/>
      </w:pPr>
      <w:r>
        <w:rPr>
          <w:b w:val="false"/>
          <w:bCs w:val="false"/>
          <w:i w:val="false"/>
          <w:iCs w:val="false"/>
        </w:rPr>
        <w:t xml:space="preserve">This reflects RAGAS's citation-based definition: the fraction of retrieved passages the generator actually cites, not whether the retrieved content is relevant. Retrieving the top-10 passages while the generator cites only 2-3 mechanically produces a low score. We will add this interpretation to the paper.</w:t>
      </w:r>
    </w:p>
    <w:p>
      <w:pPr>
        <w:pStyle w:val="Heading2"/>
        <w:spacing w:after="100" w:before="200"/>
      </w:pPr>
      <w:r>
        <w:t xml:space="preserve">Single generator and single dataset</w:t>
      </w:r>
    </w:p>
    <w:p>
      <w:pPr>
        <w:spacing w:after="150"/>
      </w:pPr>
      <w:r>
        <w:rPr>
          <w:b w:val="false"/>
          <w:bCs w:val="false"/>
          <w:i w:val="false"/>
          <w:iCs w:val="false"/>
        </w:rPr>
        <w:t xml:space="preserve">Fair points. We already scope the faithfulness finding to GPT-4o-mini ("in our setup," abstract) and will state that more explicitly, flagging other-LLM generalization as future work. We will also add a sentence in Limitations flagging that generalization beyond CORD-19 / COVID-19 literature is untested.</w:t>
      </w:r>
    </w:p>
    <w:p>
      <w:pPr>
        <w:pStyle w:val="Heading2"/>
        <w:spacing w:after="100" w:before="200"/>
      </w:pPr>
      <w:r>
        <w:t xml:space="preserve">Reranking evaluation and significance</w:t>
      </w:r>
    </w:p>
    <w:p>
      <w:pPr>
        <w:spacing w:after="150"/>
      </w:pPr>
      <w:r>
        <w:rPr>
          <w:b w:val="false"/>
          <w:bCs w:val="false"/>
          <w:i w:val="false"/>
          <w:iCs w:val="false"/>
        </w:rPr>
        <w:t xml:space="preserve">We agree recall@K alongside precision@K would make the reranking analysis more complete, and will add it in the revision, along with bootstrap confidence intervals on the retrieval tables given the small query set.</w:t>
      </w:r>
    </w:p>
    <w:p>
      <w:pPr>
        <w:pStyle w:val="Heading2"/>
        <w:spacing w:after="100" w:before="200"/>
      </w:pPr>
      <w:r>
        <w:t xml:space="preserve">R@1 denominator and chunk-token stability</w:t>
      </w:r>
    </w:p>
    <w:p>
      <w:pPr>
        <w:spacing w:after="150"/>
      </w:pPr>
      <w:r>
        <w:rPr>
          <w:b w:val="false"/>
          <w:bCs w:val="false"/>
          <w:i/>
          <w:iCs/>
        </w:rPr>
        <w:t xml:space="preserve">[KB - fill in: (1) why R@1 is still worth reporting despite the 1/3 ceiling - e.g., it still ranks systems relative to each other and matters for generation, which typically leans on the first passage; (2) confirm the fixed mean chunk token count (215) is a property of the sentence-window chunking parameter, not the sample size, so it doesn't shift across scales.]</w:t>
      </w:r>
    </w:p>
    <w:p>
      <w:pPr>
        <w:pBdr>
          <w:bottom w:val="single" w:color="999999" w:sz="6"/>
        </w:pBdr>
        <w:spacing w:after="200"/>
      </w:pPr>
    </w:p>
    <w:p>
      <w:pPr>
        <w:pStyle w:val="Heading1"/>
        <w:spacing w:after="150" w:before="300"/>
      </w:pPr>
      <w:r>
        <w:t xml:space="preserve">Reply to Reviewer VbPC</w:t>
      </w:r>
    </w:p>
    <w:p>
      <w:pPr>
        <w:spacing w:after="150"/>
      </w:pPr>
      <w:r>
        <w:rPr>
          <w:b w:val="false"/>
          <w:bCs w:val="false"/>
          <w:i w:val="false"/>
          <w:iCs w:val="false"/>
        </w:rPr>
        <w:t xml:space="preserve">Thank you for the detailed, careful critique.</w:t>
      </w:r>
    </w:p>
    <w:p>
      <w:pPr>
        <w:pStyle w:val="Heading2"/>
        <w:spacing w:after="100" w:before="200"/>
      </w:pPr>
      <w:r>
        <w:t xml:space="preserve">Reranker domain mismatch vs. reranker-specific effect</w:t>
      </w:r>
    </w:p>
    <w:p>
      <w:pPr>
        <w:spacing w:after="150"/>
      </w:pPr>
      <w:r>
        <w:rPr>
          <w:b w:val="false"/>
          <w:bCs w:val="false"/>
          <w:i w:val="false"/>
          <w:iCs w:val="false"/>
        </w:rPr>
        <w:t xml:space="preserve">This is a fair objection - a single MS MARCO-trained cross-encoder cannot on its own separate "domain mismatch" from "this particular reranker." We will soften the conclusion to state the finding is specific to this reranker pending further baselines, and add at least one scientific/biomedical reranker in the revision.</w:t>
      </w:r>
    </w:p>
    <w:p>
      <w:pPr>
        <w:pStyle w:val="Heading2"/>
        <w:spacing w:after="100" w:before="200"/>
      </w:pPr>
      <w:r>
        <w:t xml:space="preserve">RAGAS metric definitions and human evaluation</w:t>
      </w:r>
    </w:p>
    <w:p>
      <w:pPr>
        <w:spacing w:after="150"/>
      </w:pPr>
      <w:r>
        <w:rPr>
          <w:b w:val="false"/>
          <w:bCs w:val="false"/>
          <w:i w:val="false"/>
          <w:iCs w:val="false"/>
        </w:rPr>
        <w:t xml:space="preserve">We agree the metric definitions and RAGAS's limitations deserve more space, and will add short definitions plus a discussion of known LLM-judge biases. We'll also note more clearly that the ethics statement already flags that generated answers should not be used for medical decision-making without expert review, which is a partial mitigation while human evaluation is future work.</w:t>
      </w:r>
    </w:p>
    <w:p>
      <w:pPr>
        <w:pStyle w:val="Heading2"/>
        <w:spacing w:after="100" w:before="200"/>
      </w:pPr>
      <w:r>
        <w:t xml:space="preserve">Reproducibility, Datasets, and Software scores</w:t>
      </w:r>
    </w:p>
    <w:p>
      <w:pPr>
        <w:spacing w:after="150"/>
      </w:pPr>
      <w:r>
        <w:rPr>
          <w:b w:val="false"/>
          <w:bCs w:val="false"/>
          <w:i w:val="false"/>
          <w:iCs w:val="false"/>
        </w:rPr>
        <w:t xml:space="preserve">CORD-19 is publicly available (github.com/allenai/cord19), and the abstract and Appendix E commit to releasing our code, indexes, and evaluation outputs. If that release plan wasn't clear from the submission itself, that's useful signal for us - we will add a dedicated Reproducibility section with direct links to the dataset, code repository, and pre-built index artifacts so access is unambiguous.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2026-07-11T12:03:28.536Z</dcterms:created>
  <dcterms:modified xsi:type="dcterms:W3CDTF">2026-07-11T12:03:28.554Z</dcterms:modified>
</cp:coreProperties>
</file>

<file path=docProps/custom.xml><?xml version="1.0" encoding="utf-8"?>
<Properties xmlns="http://schemas.openxmlformats.org/officeDocument/2006/custom-properties" xmlns:vt="http://schemas.openxmlformats.org/officeDocument/2006/docPropsVTypes"/>
</file>