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Briefing Doc and Critique of the "NeuroSim Autonomous Racing Research Initiative" based on the provided sources.</w:t>
      </w:r>
    </w:p>
    <w:p w:rsidR="00000000" w:rsidDel="00000000" w:rsidP="00000000" w:rsidRDefault="00000000" w:rsidRPr="00000000" w14:paraId="00000002">
      <w:pPr>
        <w:pStyle w:val="Heading1"/>
        <w:rPr/>
      </w:pPr>
      <w:bookmarkStart w:colFirst="0" w:colLast="0" w:name="_nhehoj1tx36w" w:id="0"/>
      <w:bookmarkEnd w:id="0"/>
      <w:r w:rsidDel="00000000" w:rsidR="00000000" w:rsidRPr="00000000">
        <w:rPr>
          <w:rtl w:val="0"/>
        </w:rPr>
        <w:t xml:space="preserve">Briefing Doc: The NeuroSim Initiative</w:t>
      </w:r>
    </w:p>
    <w:p w:rsidR="00000000" w:rsidDel="00000000" w:rsidP="00000000" w:rsidRDefault="00000000" w:rsidRPr="00000000" w14:paraId="00000003">
      <w:pPr>
        <w:pStyle w:val="Heading3"/>
        <w:rPr/>
      </w:pPr>
      <w:bookmarkStart w:colFirst="0" w:colLast="0" w:name="_v2cmlne5h54n"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The NeuroSim Initiative is a fifteen-month research and engineering roadmap designed to construct a high-fidelity, differentiable autonomous racing framework 1. Diverging from standard engineering approaches that prioritize immediate functionality, this plan adopts a "DeepMind-style" research philosophy, emphasizing theoretical first principles, reproducibility, and the synthesis of Model-Based Reinforcement Learning (MBRL) with differentiable physics 1. The ultimate goal is to evolve the engineer into a "research-grade architect" capable of deploying a system that "understands" driving dynamics rather than merely reacting to them 1.</w:t>
      </w:r>
    </w:p>
    <w:p w:rsidR="00000000" w:rsidDel="00000000" w:rsidP="00000000" w:rsidRDefault="00000000" w:rsidRPr="00000000" w14:paraId="00000005">
      <w:pPr>
        <w:pStyle w:val="Heading3"/>
        <w:rPr/>
      </w:pPr>
      <w:bookmarkStart w:colFirst="0" w:colLast="0" w:name="_qlqg3dehazkx" w:id="2"/>
      <w:bookmarkEnd w:id="2"/>
      <w:r w:rsidDel="00000000" w:rsidR="00000000" w:rsidRPr="00000000">
        <w:rPr>
          <w:rtl w:val="0"/>
        </w:rPr>
        <w:t xml:space="preserve">Core Architectural Philosophy</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"Digital Twin First" Doctrine:</w:t>
      </w:r>
      <w:r w:rsidDel="00000000" w:rsidR="00000000" w:rsidRPr="00000000">
        <w:rPr>
          <w:rtl w:val="0"/>
        </w:rPr>
        <w:t xml:space="preserve"> The development of the intelligence kernel is decoupled from physical hardware constraints. The system prioritizes a high-fidelity simulation environment to enable rapid iteration and Domain Randomization before physical deployment 2.</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JAX Ecosystem:</w:t>
      </w:r>
      <w:r w:rsidDel="00000000" w:rsidR="00000000" w:rsidRPr="00000000">
        <w:rPr>
          <w:rtl w:val="0"/>
        </w:rPr>
        <w:t xml:space="preserve"> The project rejects PyTorch in favor of JAX (specifically Flax/Haiku and Optax) 3. This choice is driven by JAX’s functional purity, which aligns with physics and control theory, and its ability to compile complex gradient calculations via XLA 3.</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Physics-Informed AI:</w:t>
      </w:r>
      <w:r w:rsidDel="00000000" w:rsidR="00000000" w:rsidRPr="00000000">
        <w:rPr>
          <w:rtl w:val="0"/>
        </w:rPr>
        <w:t xml:space="preserve"> The architecture "bakes" conservation laws into the network using Lagrangian and Hamiltonian mechanics to prevent the violation of physical principles common in "black-box" neural networks 4.</w:t>
      </w:r>
    </w:p>
    <w:p w:rsidR="00000000" w:rsidDel="00000000" w:rsidP="00000000" w:rsidRDefault="00000000" w:rsidRPr="00000000" w14:paraId="00000009">
      <w:pPr>
        <w:pStyle w:val="Heading3"/>
        <w:rPr/>
      </w:pPr>
      <w:bookmarkStart w:colFirst="0" w:colLast="0" w:name="_opu7rjk2th2q" w:id="3"/>
      <w:bookmarkEnd w:id="3"/>
      <w:r w:rsidDel="00000000" w:rsidR="00000000" w:rsidRPr="00000000">
        <w:rPr>
          <w:rtl w:val="0"/>
        </w:rPr>
        <w:t xml:space="preserve">Technical Roadmap</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Phase 0: Theoretical Substrate (Months 1–3):</w:t>
      </w:r>
      <w:r w:rsidDel="00000000" w:rsidR="00000000" w:rsidRPr="00000000">
        <w:rPr>
          <w:rtl w:val="0"/>
        </w:rPr>
        <w:t xml:space="preserve"> Focuses on the mathematical foundations, including spectral theory, calculus of variations, and deriving Euler-Lagrange equations to build intuition for energy landscapes 4-6.</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Phase 1: Research Engineering Stack (Months 4–5):</w:t>
      </w:r>
      <w:r w:rsidDel="00000000" w:rsidR="00000000" w:rsidRPr="00000000">
        <w:rPr>
          <w:rtl w:val="0"/>
        </w:rPr>
        <w:t xml:space="preserve"> Establishes a modular "Mono-Repo" using Docker, Hydra for configuration management, and Weights &amp; Biases for experiment tracking to ensure reproducibility 7.</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Phase 2: World Models (Months 6–8):</w:t>
      </w:r>
      <w:r w:rsidDel="00000000" w:rsidR="00000000" w:rsidRPr="00000000">
        <w:rPr>
          <w:rtl w:val="0"/>
        </w:rPr>
        <w:t xml:space="preserve"> Implementation of the "Dreamer" architecture (Recurrent State Space Model). The agent learns to predict future latent states and trains inside this "imagined" environment rather than the real world 8, 9.</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Phase 3: Sim-to-Real &amp; Robustness (Months 9–11):</w:t>
      </w:r>
      <w:r w:rsidDel="00000000" w:rsidR="00000000" w:rsidRPr="00000000">
        <w:rPr>
          <w:rtl w:val="0"/>
        </w:rPr>
        <w:t xml:space="preserve"> Integration of a JAX-compatible differentiable wrapper around the F1TENTH simulator 10. This phase utilizes Domain Randomization and System Identification (SysID) to bridge the gap between simulation and reality 11, 12.</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Phase 4: Autonomous Agent (Months 12–14):</w:t>
      </w:r>
      <w:r w:rsidDel="00000000" w:rsidR="00000000" w:rsidRPr="00000000">
        <w:rPr>
          <w:rtl w:val="0"/>
        </w:rPr>
        <w:t xml:space="preserve"> Deployment of Model Predictive Path Integral (MPPI) control, using the World Model to rollout parallel trajectories on the GPU to optimize for lap times 13.</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Phase 5: Real-World Integration (Month 15+):</w:t>
      </w:r>
      <w:r w:rsidDel="00000000" w:rsidR="00000000" w:rsidRPr="00000000">
        <w:rPr>
          <w:rtl w:val="0"/>
        </w:rPr>
        <w:t xml:space="preserve"> Deployment via a ROS 2 bridge to the physical vehicle, incorporating latency compensation and a safety filter (Automatic Emergency Braking) 14, 15.</w:t>
      </w:r>
    </w:p>
    <w:p w:rsidR="00000000" w:rsidDel="00000000" w:rsidP="00000000" w:rsidRDefault="00000000" w:rsidRPr="00000000" w14:paraId="00000010">
      <w:pPr>
        <w:pStyle w:val="Heading1"/>
        <w:rPr/>
      </w:pPr>
      <w:bookmarkStart w:colFirst="0" w:colLast="0" w:name="_pch6wapjmqs9" w:id="4"/>
      <w:bookmarkEnd w:id="4"/>
      <w:r w:rsidDel="00000000" w:rsidR="00000000" w:rsidRPr="00000000">
        <w:rPr>
          <w:rtl w:val="0"/>
        </w:rPr>
        <w:t xml:space="preserve">Critique: Specific Risky Technical Assumptions</w:t>
      </w:r>
    </w:p>
    <w:p w:rsidR="00000000" w:rsidDel="00000000" w:rsidP="00000000" w:rsidRDefault="00000000" w:rsidRPr="00000000" w14:paraId="00000011">
      <w:pPr>
        <w:rPr/>
      </w:pPr>
      <w:r w:rsidDel="00000000" w:rsidR="00000000" w:rsidRPr="00000000">
        <w:rPr>
          <w:rtl w:val="0"/>
        </w:rPr>
        <w:t xml:space="preserve">Based on the provided text, the plan relies on several high-risk technical assumptions. These specific areas require rigorous validation to prevent project failure.</w:t>
      </w:r>
    </w:p>
    <w:p w:rsidR="00000000" w:rsidDel="00000000" w:rsidP="00000000" w:rsidRDefault="00000000" w:rsidRPr="00000000" w14:paraId="00000012">
      <w:pPr>
        <w:pStyle w:val="Heading3"/>
        <w:rPr/>
      </w:pPr>
      <w:bookmarkStart w:colFirst="0" w:colLast="0" w:name="_namgybfusr3q" w:id="5"/>
      <w:bookmarkEnd w:id="5"/>
      <w:r w:rsidDel="00000000" w:rsidR="00000000" w:rsidRPr="00000000">
        <w:rPr>
          <w:rtl w:val="0"/>
        </w:rPr>
        <w:t xml:space="preserve">1. The Differentiability of Contact Dynamics</w:t>
      </w:r>
    </w:p>
    <w:p w:rsidR="00000000" w:rsidDel="00000000" w:rsidP="00000000" w:rsidRDefault="00000000" w:rsidRPr="00000000" w14:paraId="00000013">
      <w:pPr>
        <w:rPr/>
      </w:pPr>
      <w:r w:rsidDel="00000000" w:rsidR="00000000" w:rsidRPr="00000000">
        <w:rPr>
          <w:b w:val="1"/>
          <w:bCs w:val="1"/>
          <w:rtl w:val="0"/>
        </w:rPr>
        <w:t xml:space="preserve">The Assumption:</w:t>
      </w:r>
      <w:r w:rsidDel="00000000" w:rsidR="00000000" w:rsidRPr="00000000">
        <w:rPr>
          <w:rtl w:val="0"/>
        </w:rPr>
        <w:t xml:space="preserve"> The plan assumes that the standard F1TENTH simulator (based on PyBullet) can be effectively wrapped in a "surrogate differentiable model in JAX" to enable gradient-based planning 10. To achieve this, it proposes replacing hard contact constraints with soft spring-damper penalty functions and smoothing functions like jax.nn.softplus 16.</w:t>
      </w:r>
      <w:r w:rsidDel="00000000" w:rsidR="00000000" w:rsidRPr="00000000">
        <w:rPr>
          <w:b w:val="1"/>
          <w:bCs w:val="1"/>
          <w:rtl w:val="0"/>
        </w:rPr>
        <w:t xml:space="preserve">The Risk:</w:t>
      </w:r>
      <w:r w:rsidDel="00000000" w:rsidR="00000000" w:rsidRPr="00000000">
        <w:rPr>
          <w:rtl w:val="0"/>
        </w:rPr>
        <w:t xml:space="preserve"> Approximating hard collisions with soft penalties is numerically unstable and difficult to tune. "Soft contacts" can lead to stiff differential equations that are computationally expensive to solve or result in non-physical interpenetration (objects sinking into each other). If the gradient information derived from these soft collisions is inaccurate, the MPPI planner—which relies on these gradients—may fail to converge on viable trajectories near obstacles, rendering the "differentiable physics" advantage moot.</w:t>
      </w:r>
    </w:p>
    <w:p w:rsidR="00000000" w:rsidDel="00000000" w:rsidP="00000000" w:rsidRDefault="00000000" w:rsidRPr="00000000" w14:paraId="00000014">
      <w:pPr>
        <w:pStyle w:val="Heading3"/>
        <w:rPr/>
      </w:pPr>
      <w:bookmarkStart w:colFirst="0" w:colLast="0" w:name="_qrtaauijbz6v" w:id="6"/>
      <w:bookmarkEnd w:id="6"/>
      <w:r w:rsidDel="00000000" w:rsidR="00000000" w:rsidRPr="00000000">
        <w:rPr>
          <w:rtl w:val="0"/>
        </w:rPr>
        <w:t xml:space="preserve">2. The Applicability of Hamiltonian Dynamics to Dissipative Systems</w:t>
      </w:r>
    </w:p>
    <w:p w:rsidR="00000000" w:rsidDel="00000000" w:rsidP="00000000" w:rsidRDefault="00000000" w:rsidRPr="00000000" w14:paraId="00000015">
      <w:pPr>
        <w:rPr/>
      </w:pPr>
      <w:r w:rsidDel="00000000" w:rsidR="00000000" w:rsidRPr="00000000">
        <w:rPr>
          <w:b w:val="1"/>
          <w:bCs w:val="1"/>
          <w:rtl w:val="0"/>
        </w:rPr>
        <w:t xml:space="preserve">The Assumption:</w:t>
      </w:r>
      <w:r w:rsidDel="00000000" w:rsidR="00000000" w:rsidRPr="00000000">
        <w:rPr>
          <w:rtl w:val="0"/>
        </w:rPr>
        <w:t xml:space="preserve"> The plan explicitly intends to use Hamiltonian Neural Networks (HNNs) to learn dynamics that "strictly conserve energy" to prevent vanishing/exploding energy problems 17.</w:t>
      </w:r>
      <w:r w:rsidDel="00000000" w:rsidR="00000000" w:rsidRPr="00000000">
        <w:rPr>
          <w:b w:val="1"/>
          <w:bCs w:val="1"/>
          <w:rtl w:val="0"/>
        </w:rPr>
        <w:t xml:space="preserve">The Risk:</w:t>
      </w:r>
      <w:r w:rsidDel="00000000" w:rsidR="00000000" w:rsidRPr="00000000">
        <w:rPr>
          <w:rtl w:val="0"/>
        </w:rPr>
        <w:t xml:space="preserve"> Autonomous racing is inherently a </w:t>
      </w:r>
      <w:r w:rsidDel="00000000" w:rsidR="00000000" w:rsidRPr="00000000">
        <w:rPr>
          <w:b w:val="1"/>
          <w:bCs w:val="1"/>
          <w:rtl w:val="0"/>
        </w:rPr>
        <w:t xml:space="preserve">non-conservative (dissipative) system</w:t>
      </w:r>
      <w:r w:rsidDel="00000000" w:rsidR="00000000" w:rsidRPr="00000000">
        <w:rPr>
          <w:rtl w:val="0"/>
        </w:rPr>
        <w:t xml:space="preserve">. It involves friction, aerodynamic drag, tire degradation, and battery heat loss—all of which dissipate energy. Enforcing strict Hamiltonian energy conservation 17 might force the model to hallucinate energy preservation where none exists, leading to a "drift" between the learned model and the highly dissipative reality of a race car. While the plan mentions the "Principle of Least Action" 4, it does not detail how it will reconcile strict conservation laws with the necessary non-conservative forces of tire friction (Pacejka formulation) 10.</w:t>
      </w:r>
    </w:p>
    <w:p w:rsidR="00000000" w:rsidDel="00000000" w:rsidP="00000000" w:rsidRDefault="00000000" w:rsidRPr="00000000" w14:paraId="00000016">
      <w:pPr>
        <w:pStyle w:val="Heading3"/>
        <w:rPr/>
      </w:pPr>
      <w:bookmarkStart w:colFirst="0" w:colLast="0" w:name="_igotboa5w2u4" w:id="7"/>
      <w:bookmarkEnd w:id="7"/>
      <w:r w:rsidDel="00000000" w:rsidR="00000000" w:rsidRPr="00000000">
        <w:rPr>
          <w:rtl w:val="0"/>
        </w:rPr>
        <w:t xml:space="preserve">3. Real-Time Latency and Compute Constraints</w:t>
      </w:r>
    </w:p>
    <w:p w:rsidR="00000000" w:rsidDel="00000000" w:rsidP="00000000" w:rsidRDefault="00000000" w:rsidRPr="00000000" w14:paraId="00000017">
      <w:pPr>
        <w:rPr/>
      </w:pPr>
      <w:r w:rsidDel="00000000" w:rsidR="00000000" w:rsidRPr="00000000">
        <w:rPr>
          <w:b w:val="1"/>
          <w:bCs w:val="1"/>
          <w:rtl w:val="0"/>
        </w:rPr>
        <w:t xml:space="preserve">The Assumption:</w:t>
      </w:r>
      <w:r w:rsidDel="00000000" w:rsidR="00000000" w:rsidRPr="00000000">
        <w:rPr>
          <w:rtl w:val="0"/>
        </w:rPr>
        <w:t xml:space="preserve"> The plan relies on a sophisticated stack involving a Recurrent State Space Model (RSSM), a VAE encoder, and an MPPI planner that samples "10,000 trajectories in milliseconds" via JAX vmap 13. It assumes this can be deployed to the car using a ROS 2 bridge 14.</w:t>
      </w:r>
      <w:r w:rsidDel="00000000" w:rsidR="00000000" w:rsidRPr="00000000">
        <w:rPr>
          <w:b w:val="1"/>
          <w:bCs w:val="1"/>
          <w:rtl w:val="0"/>
        </w:rPr>
        <w:t xml:space="preserve">The Risk:</w:t>
      </w:r>
      <w:r w:rsidDel="00000000" w:rsidR="00000000" w:rsidRPr="00000000">
        <w:rPr>
          <w:rtl w:val="0"/>
        </w:rPr>
        <w:t xml:space="preserve"> The plan targets an embedded system (NVIDIA Jetson) 14. While JAX is fast, running a heavy Transformer-based or RSSM World Model </w:t>
      </w:r>
      <w:r w:rsidDel="00000000" w:rsidR="00000000" w:rsidRPr="00000000">
        <w:rPr>
          <w:i w:val="1"/>
          <w:iCs w:val="1"/>
          <w:rtl w:val="0"/>
        </w:rPr>
        <w:t xml:space="preserve">simultaneously</w:t>
      </w:r>
      <w:r w:rsidDel="00000000" w:rsidR="00000000" w:rsidRPr="00000000">
        <w:rPr>
          <w:rtl w:val="0"/>
        </w:rPr>
        <w:t xml:space="preserve"> with a sampling-based MPPI planner is extremely compute-intensive. The assumption that the hardware can sustain the inference rates required for high-speed racing (typically &gt;50Hz) while handling the overhead of Docker, ROS 2 serialization/deserialization, and JAX compilation on an edge device is highly optimistic. The "Latency Modeling" section addresses the </w:t>
      </w:r>
      <w:r w:rsidDel="00000000" w:rsidR="00000000" w:rsidRPr="00000000">
        <w:rPr>
          <w:i w:val="1"/>
          <w:iCs w:val="1"/>
          <w:rtl w:val="0"/>
        </w:rPr>
        <w:t xml:space="preserve">physics</w:t>
      </w:r>
      <w:r w:rsidDel="00000000" w:rsidR="00000000" w:rsidRPr="00000000">
        <w:rPr>
          <w:rtl w:val="0"/>
        </w:rPr>
        <w:t xml:space="preserve"> of delay 11, but not the </w:t>
      </w:r>
      <w:r w:rsidDel="00000000" w:rsidR="00000000" w:rsidRPr="00000000">
        <w:rPr>
          <w:i w:val="1"/>
          <w:iCs w:val="1"/>
          <w:rtl w:val="0"/>
        </w:rPr>
        <w:t xml:space="preserve">computational bottleneck</w:t>
      </w:r>
      <w:r w:rsidDel="00000000" w:rsidR="00000000" w:rsidRPr="00000000">
        <w:rPr>
          <w:rtl w:val="0"/>
        </w:rPr>
        <w:t xml:space="preserve"> of the proposed architecture.</w:t>
      </w:r>
    </w:p>
    <w:p w:rsidR="00000000" w:rsidDel="00000000" w:rsidP="00000000" w:rsidRDefault="00000000" w:rsidRPr="00000000" w14:paraId="00000018">
      <w:pPr>
        <w:pStyle w:val="Heading3"/>
        <w:rPr/>
      </w:pPr>
      <w:bookmarkStart w:colFirst="0" w:colLast="0" w:name="_ntyvempyjfvt" w:id="8"/>
      <w:bookmarkEnd w:id="8"/>
      <w:r w:rsidDel="00000000" w:rsidR="00000000" w:rsidRPr="00000000">
        <w:rPr>
          <w:rtl w:val="0"/>
        </w:rPr>
        <w:t xml:space="preserve">4. The Efficacy of Simple System Identification (SysID)</w:t>
      </w:r>
    </w:p>
    <w:p w:rsidR="00000000" w:rsidDel="00000000" w:rsidP="00000000" w:rsidRDefault="00000000" w:rsidRPr="00000000" w14:paraId="00000019">
      <w:pPr>
        <w:rPr/>
      </w:pPr>
      <w:r w:rsidDel="00000000" w:rsidR="00000000" w:rsidRPr="00000000">
        <w:rPr>
          <w:b w:val="1"/>
          <w:bCs w:val="1"/>
          <w:rtl w:val="0"/>
        </w:rPr>
        <w:t xml:space="preserve">The Assumption:</w:t>
      </w:r>
      <w:r w:rsidDel="00000000" w:rsidR="00000000" w:rsidRPr="00000000">
        <w:rPr>
          <w:rtl w:val="0"/>
        </w:rPr>
        <w:t xml:space="preserve"> The plan proposes a "Physics-ID Module"—a small MLP that estimates mass and friction from state-action sequences to feed into the World Model as context 12.</w:t>
      </w:r>
      <w:r w:rsidDel="00000000" w:rsidR="00000000" w:rsidRPr="00000000">
        <w:rPr>
          <w:b w:val="1"/>
          <w:bCs w:val="1"/>
          <w:rtl w:val="0"/>
        </w:rPr>
        <w:t xml:space="preserve">The Risk:</w:t>
      </w:r>
      <w:r w:rsidDel="00000000" w:rsidR="00000000" w:rsidRPr="00000000">
        <w:rPr>
          <w:rtl w:val="0"/>
        </w:rPr>
        <w:t xml:space="preserve"> This assumes that the complex, non-linear interactions of a racing vehicle (specifically the tire-road interaction described by the Pacejka Magic Formula 10) can be reduced to a simple context vector estimated by a small MLP. In reality, tire friction is not a static coefficient; it changes with temperature, wear, and load transfer. If the MLP fails to capture the high-frequency variance of these parameters, the "context" fed to the World Model will be incorrect, causing the policy to make aggressive maneuvers based on false friction estimates.</w:t>
      </w:r>
    </w:p>
    <w:p w:rsidR="00000000" w:rsidDel="00000000" w:rsidP="00000000" w:rsidRDefault="00000000" w:rsidRPr="00000000" w14:paraId="0000001A">
      <w:pPr>
        <w:pStyle w:val="Heading3"/>
        <w:rPr/>
      </w:pPr>
      <w:bookmarkStart w:colFirst="0" w:colLast="0" w:name="_3xk1pz5apfnm" w:id="9"/>
      <w:bookmarkEnd w:id="9"/>
      <w:r w:rsidDel="00000000" w:rsidR="00000000" w:rsidRPr="00000000">
        <w:rPr>
          <w:rtl w:val="0"/>
        </w:rPr>
        <w:t xml:space="preserve">5. The "JAX Transition" Learning Curve</w:t>
      </w:r>
    </w:p>
    <w:p w:rsidR="00000000" w:rsidDel="00000000" w:rsidP="00000000" w:rsidRDefault="00000000" w:rsidRPr="00000000" w14:paraId="0000001B">
      <w:pPr>
        <w:rPr/>
      </w:pPr>
      <w:r w:rsidDel="00000000" w:rsidR="00000000" w:rsidRPr="00000000">
        <w:rPr>
          <w:b w:val="1"/>
          <w:bCs w:val="1"/>
          <w:rtl w:val="0"/>
        </w:rPr>
        <w:t xml:space="preserve">The Assumption:</w:t>
      </w:r>
      <w:r w:rsidDel="00000000" w:rsidR="00000000" w:rsidRPr="00000000">
        <w:rPr>
          <w:rtl w:val="0"/>
        </w:rPr>
        <w:t xml:space="preserve"> The plan allocates Months 4–5 to master the JAX ecosystem and transition from PyTorch, assuming that "JAX is chosen... for its functional purity" 3 and that this will lead to a superior engineering stack.</w:t>
      </w:r>
      <w:r w:rsidDel="00000000" w:rsidR="00000000" w:rsidRPr="00000000">
        <w:rPr>
          <w:b w:val="1"/>
          <w:bCs w:val="1"/>
          <w:rtl w:val="0"/>
        </w:rPr>
        <w:t xml:space="preserve">The Risk:</w:t>
      </w:r>
      <w:r w:rsidDel="00000000" w:rsidR="00000000" w:rsidRPr="00000000">
        <w:rPr>
          <w:rtl w:val="0"/>
        </w:rPr>
        <w:t xml:space="preserve"> While technically sound, this assumes the "One-off script mentality" 18 can be easily broken. JAX requires a fundamental shift in programming paradigm (immutable state, pure functions, RNG key management). The "debugging JAX" phase is described as "frustrating" 19, but this may be an understatement. The rigid requirements of jax.jit (static shapes) often clash with the dynamic nature of experimental research code (e.g., varying batch sizes or sequence lengths), potentially stalling the timeline significantly during the implementation of the complex Dreamer architecture 8.</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