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4"/>
          <w:szCs w:val="34"/>
        </w:rPr>
        <w:t xml:space="preserve">Anassé Yahanan</w:t>
      </w:r>
    </w:p>
    <w:p>
      <w:pPr>
        <w:spacing w:after="40"/>
        <w:jc w:val="center"/>
      </w:pPr>
      <w:r>
        <w:rPr>
          <w:rFonts w:ascii="Calibri" w:cs="Calibri" w:eastAsia="Calibri" w:hAnsi="Calibri"/>
          <w:color w:val="333333"/>
          <w:sz w:val="23"/>
          <w:szCs w:val="23"/>
        </w:rPr>
        <w:t xml:space="preserve">Data Analyst — Reporting, Dashboards &amp; Automatisation</w:t>
      </w:r>
    </w:p>
    <w:p>
      <w:pPr>
        <w:spacing w:after="200"/>
        <w:jc w:val="center"/>
      </w:pPr>
      <w:r>
        <w:rPr>
          <w:rFonts w:ascii="Calibri" w:cs="Calibri" w:eastAsia="Calibri" w:hAnsi="Calibri"/>
          <w:color w:val="444444"/>
          <w:sz w:val="18"/>
          <w:szCs w:val="18"/>
        </w:rPr>
        <w:t xml:space="preserve">Abidjan, Côte d'Ivoire  |  anasseyahanan@gmail.com  |  https://anasseyahnn.github.io/portfolio/  |  https://github.com/Anasseyahnn  |  https://linkedin.com/in/anasse-yahanan-bouagba-3b39aa242/</w:t>
      </w:r>
    </w:p>
    <w:p>
      <w:pPr>
        <w:pStyle w:val="Heading2"/>
        <w:pBdr>
          <w:bottom w:val="single" w:color="999999" w:sz="6" w:space="2"/>
        </w:pBdr>
        <w:spacing w:after="100" w:before="240"/>
      </w:pPr>
      <w:r>
        <w:rPr>
          <w:rFonts w:ascii="Calibri" w:cs="Calibri" w:eastAsia="Calibri" w:hAnsi="Calibri"/>
          <w:b/>
          <w:bCs/>
          <w:color w:val="1F1F1F"/>
          <w:sz w:val="24"/>
          <w:szCs w:val="24"/>
        </w:rPr>
        <w:t xml:space="preserve">RÉSUMÉ</w:t>
      </w:r>
    </w:p>
    <w:p>
      <w:pPr>
        <w:spacing w:after="120"/>
      </w:pPr>
      <w:r>
        <w:rPr>
          <w:rFonts w:ascii="Calibri" w:cs="Calibri" w:eastAsia="Calibri" w:hAnsi="Calibri"/>
          <w:sz w:val="21"/>
          <w:szCs w:val="21"/>
        </w:rPr>
        <w:t xml:space="preserve">Data Analyst avec 3+ ans d'expérience en reporting, dashboards et automatisation du traitement de données pour des études de marché et des programmes de développement en Afrique de l'Ouest. Expertise en Power BI, Python et SQL pour transformer des données brutes en outils d'aide à la décision, avec une expérience de suivi-évaluation (MEAL) sur des projets financés par l'USAID et l'Ambassade des États-Unis. Actuellement Chargé d'Études Statistique &amp; Marketing Senior chez OpinionWay Afrique Subsaharienne. Français courant, anglais professionnel.</w:t>
      </w:r>
    </w:p>
    <w:p>
      <w:pPr>
        <w:pStyle w:val="Heading2"/>
        <w:pBdr>
          <w:bottom w:val="single" w:color="999999" w:sz="6" w:space="2"/>
        </w:pBdr>
        <w:spacing w:after="100" w:before="240"/>
      </w:pPr>
      <w:r>
        <w:rPr>
          <w:rFonts w:ascii="Calibri" w:cs="Calibri" w:eastAsia="Calibri" w:hAnsi="Calibri"/>
          <w:b/>
          <w:bCs/>
          <w:color w:val="1F1F1F"/>
          <w:sz w:val="24"/>
          <w:szCs w:val="24"/>
        </w:rPr>
        <w:t xml:space="preserve">COMPÉTENCES</w:t>
      </w:r>
    </w:p>
    <w:p>
      <w:pPr>
        <w:spacing w:after="80"/>
      </w:pPr>
      <w:r>
        <w:rPr>
          <w:rFonts w:ascii="Calibri" w:cs="Calibri" w:eastAsia="Calibri" w:hAnsi="Calibri"/>
          <w:b/>
          <w:bCs/>
          <w:sz w:val="21"/>
          <w:szCs w:val="21"/>
        </w:rPr>
        <w:t xml:space="preserve">Analyse de données &amp; Reporting : </w:t>
      </w:r>
      <w:r>
        <w:rPr>
          <w:rFonts w:ascii="Calibri" w:cs="Calibri" w:eastAsia="Calibri" w:hAnsi="Calibri"/>
          <w:sz w:val="21"/>
          <w:szCs w:val="21"/>
        </w:rPr>
        <w:t xml:space="preserve">Power BI · SQL · Python · R · ggplot2 · Quarto</w:t>
      </w:r>
    </w:p>
    <w:p>
      <w:pPr>
        <w:spacing w:after="80"/>
      </w:pPr>
      <w:r>
        <w:rPr>
          <w:rFonts w:ascii="Calibri" w:cs="Calibri" w:eastAsia="Calibri" w:hAnsi="Calibri"/>
          <w:b/>
          <w:bCs/>
          <w:sz w:val="21"/>
          <w:szCs w:val="21"/>
        </w:rPr>
        <w:t xml:space="preserve">Automatisation &amp; Qualité des données : </w:t>
      </w:r>
      <w:r>
        <w:rPr>
          <w:rFonts w:ascii="Calibri" w:cs="Calibri" w:eastAsia="Calibri" w:hAnsi="Calibri"/>
          <w:sz w:val="21"/>
          <w:szCs w:val="21"/>
        </w:rPr>
        <w:t xml:space="preserve">Python · FastAPI · Docker</w:t>
      </w:r>
    </w:p>
    <w:p>
      <w:pPr>
        <w:spacing w:after="80"/>
      </w:pPr>
      <w:r>
        <w:rPr>
          <w:rFonts w:ascii="Calibri" w:cs="Calibri" w:eastAsia="Calibri" w:hAnsi="Calibri"/>
          <w:b/>
          <w:bCs/>
          <w:sz w:val="21"/>
          <w:szCs w:val="21"/>
        </w:rPr>
        <w:t xml:space="preserve">IA &amp; Machine Learning : </w:t>
      </w:r>
      <w:r>
        <w:rPr>
          <w:rFonts w:ascii="Calibri" w:cs="Calibri" w:eastAsia="Calibri" w:hAnsi="Calibri"/>
          <w:sz w:val="21"/>
          <w:szCs w:val="21"/>
        </w:rPr>
        <w:t xml:space="preserve">Scikit-Learn · PyTorch · LLM · RAG</w:t>
      </w:r>
    </w:p>
    <w:p>
      <w:pPr>
        <w:spacing w:after="80"/>
      </w:pPr>
      <w:r>
        <w:rPr>
          <w:rFonts w:ascii="Calibri" w:cs="Calibri" w:eastAsia="Calibri" w:hAnsi="Calibri"/>
          <w:b/>
          <w:bCs/>
          <w:sz w:val="21"/>
          <w:szCs w:val="21"/>
        </w:rPr>
        <w:t xml:space="preserve">Outils complémentaires : </w:t>
      </w:r>
      <w:r>
        <w:rPr>
          <w:rFonts w:ascii="Calibri" w:cs="Calibri" w:eastAsia="Calibri" w:hAnsi="Calibri"/>
          <w:sz w:val="21"/>
          <w:szCs w:val="21"/>
        </w:rPr>
        <w:t xml:space="preserve">Streamlit · Next.js · Ollama · Groq</w:t>
      </w:r>
    </w:p>
    <w:p>
      <w:pPr>
        <w:pStyle w:val="Heading2"/>
        <w:pBdr>
          <w:bottom w:val="single" w:color="999999" w:sz="6" w:space="2"/>
        </w:pBdr>
        <w:spacing w:after="100" w:before="240"/>
      </w:pPr>
      <w:r>
        <w:rPr>
          <w:rFonts w:ascii="Calibri" w:cs="Calibri" w:eastAsia="Calibri" w:hAnsi="Calibri"/>
          <w:b/>
          <w:bCs/>
          <w:color w:val="1F1F1F"/>
          <w:sz w:val="24"/>
          <w:szCs w:val="24"/>
        </w:rPr>
        <w:t xml:space="preserve">EXPÉRIENCE PROFESSIONNELLE</w:t>
      </w:r>
    </w:p>
    <w:p>
      <w:pPr>
        <w:tabs>
          <w:tab w:val="right" w:pos="9360"/>
        </w:tabs>
        <w:spacing w:after="40" w:before="160"/>
      </w:pPr>
      <w:r>
        <w:rPr>
          <w:rFonts w:ascii="Calibri" w:cs="Calibri" w:eastAsia="Calibri" w:hAnsi="Calibri"/>
          <w:b/>
          <w:bCs/>
          <w:sz w:val="22"/>
          <w:szCs w:val="22"/>
        </w:rPr>
        <w:t xml:space="preserve">Chargé d'Études Statistique &amp; Marketing Senior</w:t>
      </w:r>
      <w:r>
        <w:rPr>
          <w:rFonts w:ascii="Calibri" w:cs="Calibri" w:eastAsia="Calibri" w:hAnsi="Calibri"/>
          <w:sz w:val="22"/>
          <w:szCs w:val="22"/>
        </w:rPr>
        <w:t xml:space="preserve">  —  OpinionWay Afrique Subsaharienne</w:t>
      </w:r>
      <w:r>
        <w:rPr>
          <w:rFonts w:ascii="Calibri" w:cs="Calibri" w:eastAsia="Calibri" w:hAnsi="Calibri"/>
          <w:i/>
          <w:iCs/>
          <w:sz w:val="20"/>
          <w:szCs w:val="20"/>
        </w:rPr>
        <w:t xml:space="preserve">	2025 – Présent</w:t>
      </w:r>
    </w:p>
    <w:p>
      <w:pPr>
        <w:pStyle w:val="ListParagraph"/>
        <w:numPr>
          <w:ilvl w:val="0"/>
          <w:numId w:val="2"/>
        </w:numPr>
        <w:spacing w:after="60"/>
      </w:pPr>
      <w:r>
        <w:rPr>
          <w:rFonts w:ascii="Calibri" w:cs="Calibri" w:eastAsia="Calibri" w:hAnsi="Calibri"/>
          <w:sz w:val="21"/>
          <w:szCs w:val="21"/>
        </w:rPr>
        <w:t xml:space="preserve">Conception et déploiement de dashboards Power BI pour le suivi des indicateurs clés de performance client</w:t>
      </w:r>
    </w:p>
    <w:p>
      <w:pPr>
        <w:pStyle w:val="ListParagraph"/>
        <w:numPr>
          <w:ilvl w:val="0"/>
          <w:numId w:val="2"/>
        </w:numPr>
        <w:spacing w:after="60"/>
      </w:pPr>
      <w:r>
        <w:rPr>
          <w:rFonts w:ascii="Calibri" w:cs="Calibri" w:eastAsia="Calibri" w:hAnsi="Calibri"/>
          <w:sz w:val="21"/>
          <w:szCs w:val="21"/>
        </w:rPr>
        <w:t xml:space="preserve">Automatisation du traitement de données d'enquête via des pipelines ETL en Python et R</w:t>
      </w:r>
    </w:p>
    <w:p>
      <w:pPr>
        <w:pStyle w:val="ListParagraph"/>
        <w:numPr>
          <w:ilvl w:val="0"/>
          <w:numId w:val="2"/>
        </w:numPr>
        <w:spacing w:after="60"/>
      </w:pPr>
      <w:r>
        <w:rPr>
          <w:rFonts w:ascii="Calibri" w:cs="Calibri" w:eastAsia="Calibri" w:hAnsi="Calibri"/>
          <w:sz w:val="21"/>
          <w:szCs w:val="21"/>
        </w:rPr>
        <w:t xml:space="preserve">Développement de modèles de segmentation clientèle par clustering K-means pour optimiser le ciblage</w:t>
      </w:r>
    </w:p>
    <w:p>
      <w:pPr>
        <w:pStyle w:val="ListParagraph"/>
        <w:numPr>
          <w:ilvl w:val="0"/>
          <w:numId w:val="2"/>
        </w:numPr>
        <w:spacing w:after="60"/>
      </w:pPr>
      <w:r>
        <w:rPr>
          <w:rFonts w:ascii="Calibri" w:cs="Calibri" w:eastAsia="Calibri" w:hAnsi="Calibri"/>
          <w:sz w:val="21"/>
          <w:szCs w:val="21"/>
        </w:rPr>
        <w:t xml:space="preserve">Pilotage d'études de marché quantitatives et qualitatives, de la collecte à la restitution des résultats</w:t>
      </w:r>
    </w:p>
    <w:p>
      <w:pPr>
        <w:tabs>
          <w:tab w:val="right" w:pos="9360"/>
        </w:tabs>
        <w:spacing w:after="40" w:before="160"/>
      </w:pPr>
      <w:r>
        <w:rPr>
          <w:rFonts w:ascii="Calibri" w:cs="Calibri" w:eastAsia="Calibri" w:hAnsi="Calibri"/>
          <w:b/>
          <w:bCs/>
          <w:sz w:val="22"/>
          <w:szCs w:val="22"/>
        </w:rPr>
        <w:t xml:space="preserve">Consultant Chargé d'Étude Statistique &amp; Marketing</w:t>
      </w:r>
      <w:r>
        <w:rPr>
          <w:rFonts w:ascii="Calibri" w:cs="Calibri" w:eastAsia="Calibri" w:hAnsi="Calibri"/>
          <w:sz w:val="22"/>
          <w:szCs w:val="22"/>
        </w:rPr>
        <w:t xml:space="preserve">  —  Cabinet InsightPlus</w:t>
      </w:r>
      <w:r>
        <w:rPr>
          <w:rFonts w:ascii="Calibri" w:cs="Calibri" w:eastAsia="Calibri" w:hAnsi="Calibri"/>
          <w:i/>
          <w:iCs/>
          <w:sz w:val="20"/>
          <w:szCs w:val="20"/>
        </w:rPr>
        <w:t xml:space="preserve">	2024</w:t>
      </w:r>
    </w:p>
    <w:p>
      <w:pPr>
        <w:pStyle w:val="ListParagraph"/>
        <w:numPr>
          <w:ilvl w:val="0"/>
          <w:numId w:val="2"/>
        </w:numPr>
        <w:spacing w:after="60"/>
      </w:pPr>
      <w:r>
        <w:rPr>
          <w:rFonts w:ascii="Calibri" w:cs="Calibri" w:eastAsia="Calibri" w:hAnsi="Calibri"/>
          <w:sz w:val="21"/>
          <w:szCs w:val="21"/>
        </w:rPr>
        <w:t xml:space="preserve">Réalisation d'études statistiques et marketing pour une clientèle diversifiée</w:t>
      </w:r>
    </w:p>
    <w:p>
      <w:pPr>
        <w:pStyle w:val="ListParagraph"/>
        <w:numPr>
          <w:ilvl w:val="0"/>
          <w:numId w:val="2"/>
        </w:numPr>
        <w:spacing w:after="60"/>
      </w:pPr>
      <w:r>
        <w:rPr>
          <w:rFonts w:ascii="Calibri" w:cs="Calibri" w:eastAsia="Calibri" w:hAnsi="Calibri"/>
          <w:sz w:val="21"/>
          <w:szCs w:val="21"/>
        </w:rPr>
        <w:t xml:space="preserve">Traitement, nettoyage et assurance qualité de données quantitatives et qualitatives</w:t>
      </w:r>
    </w:p>
    <w:p>
      <w:pPr>
        <w:pStyle w:val="ListParagraph"/>
        <w:numPr>
          <w:ilvl w:val="0"/>
          <w:numId w:val="2"/>
        </w:numPr>
        <w:spacing w:after="60"/>
      </w:pPr>
      <w:r>
        <w:rPr>
          <w:rFonts w:ascii="Calibri" w:cs="Calibri" w:eastAsia="Calibri" w:hAnsi="Calibri"/>
          <w:sz w:val="21"/>
          <w:szCs w:val="21"/>
        </w:rPr>
        <w:t xml:space="preserve">Production de rapports et de recommandations basés sur l'analyse de données</w:t>
      </w:r>
    </w:p>
    <w:p>
      <w:pPr>
        <w:tabs>
          <w:tab w:val="right" w:pos="9360"/>
        </w:tabs>
        <w:spacing w:after="40" w:before="160"/>
      </w:pPr>
      <w:r>
        <w:rPr>
          <w:rFonts w:ascii="Calibri" w:cs="Calibri" w:eastAsia="Calibri" w:hAnsi="Calibri"/>
          <w:b/>
          <w:bCs/>
          <w:sz w:val="22"/>
          <w:szCs w:val="22"/>
        </w:rPr>
        <w:t xml:space="preserve">Analyste Revenu Assurance Junior</w:t>
      </w:r>
      <w:r>
        <w:rPr>
          <w:rFonts w:ascii="Calibri" w:cs="Calibri" w:eastAsia="Calibri" w:hAnsi="Calibri"/>
          <w:sz w:val="22"/>
          <w:szCs w:val="22"/>
        </w:rPr>
        <w:t xml:space="preserve">  —  Banque Atlantique Côte d'Ivoire</w:t>
      </w:r>
      <w:r>
        <w:rPr>
          <w:rFonts w:ascii="Calibri" w:cs="Calibri" w:eastAsia="Calibri" w:hAnsi="Calibri"/>
          <w:i/>
          <w:iCs/>
          <w:sz w:val="20"/>
          <w:szCs w:val="20"/>
        </w:rPr>
        <w:t xml:space="preserve">	2022</w:t>
      </w:r>
    </w:p>
    <w:p>
      <w:pPr>
        <w:pStyle w:val="ListParagraph"/>
        <w:numPr>
          <w:ilvl w:val="0"/>
          <w:numId w:val="2"/>
        </w:numPr>
        <w:spacing w:after="60"/>
      </w:pPr>
      <w:r>
        <w:rPr>
          <w:rFonts w:ascii="Calibri" w:cs="Calibri" w:eastAsia="Calibri" w:hAnsi="Calibri"/>
          <w:sz w:val="21"/>
          <w:szCs w:val="21"/>
        </w:rPr>
        <w:t xml:space="preserve">Analyse et suivi des revenus liés aux produits d'assurance</w:t>
      </w:r>
    </w:p>
    <w:p>
      <w:pPr>
        <w:pStyle w:val="ListParagraph"/>
        <w:numPr>
          <w:ilvl w:val="0"/>
          <w:numId w:val="2"/>
        </w:numPr>
        <w:spacing w:after="60"/>
      </w:pPr>
      <w:r>
        <w:rPr>
          <w:rFonts w:ascii="Calibri" w:cs="Calibri" w:eastAsia="Calibri" w:hAnsi="Calibri"/>
          <w:sz w:val="21"/>
          <w:szCs w:val="21"/>
        </w:rPr>
        <w:t xml:space="preserve">Production de reporting financier régulier pour la direction</w:t>
      </w:r>
    </w:p>
    <w:p>
      <w:pPr>
        <w:pStyle w:val="Heading2"/>
        <w:pBdr>
          <w:bottom w:val="single" w:color="999999" w:sz="6" w:space="2"/>
        </w:pBdr>
        <w:spacing w:after="100" w:before="240"/>
      </w:pPr>
      <w:r>
        <w:rPr>
          <w:rFonts w:ascii="Calibri" w:cs="Calibri" w:eastAsia="Calibri" w:hAnsi="Calibri"/>
          <w:b/>
          <w:bCs/>
          <w:color w:val="1F1F1F"/>
          <w:sz w:val="24"/>
          <w:szCs w:val="24"/>
        </w:rPr>
        <w:t xml:space="preserve">EXPÉRIENCES COMPLÉMENTAIRES</w:t>
      </w:r>
    </w:p>
    <w:p>
      <w:pPr>
        <w:tabs>
          <w:tab w:val="right" w:pos="9360"/>
        </w:tabs>
        <w:spacing w:after="40" w:before="160"/>
      </w:pPr>
      <w:r>
        <w:rPr>
          <w:rFonts w:ascii="Calibri" w:cs="Calibri" w:eastAsia="Calibri" w:hAnsi="Calibri"/>
          <w:b/>
          <w:bCs/>
          <w:sz w:val="22"/>
          <w:szCs w:val="22"/>
        </w:rPr>
        <w:t xml:space="preserve">Suivi-Évaluation (MEAL)</w:t>
      </w:r>
      <w:r>
        <w:rPr>
          <w:rFonts w:ascii="Calibri" w:cs="Calibri" w:eastAsia="Calibri" w:hAnsi="Calibri"/>
          <w:sz w:val="22"/>
          <w:szCs w:val="22"/>
        </w:rPr>
        <w:t xml:space="preserve">  —  Projets financés USAID et Ambassade des États-Unis</w:t>
      </w:r>
      <w:r>
        <w:rPr>
          <w:rFonts w:ascii="Calibri" w:cs="Calibri" w:eastAsia="Calibri" w:hAnsi="Calibri"/>
          <w:i/>
          <w:iCs/>
          <w:sz w:val="20"/>
          <w:szCs w:val="20"/>
        </w:rPr>
        <w:t xml:space="preserve">	</w:t>
      </w:r>
    </w:p>
    <w:p>
      <w:pPr>
        <w:pStyle w:val="ListParagraph"/>
        <w:numPr>
          <w:ilvl w:val="0"/>
          <w:numId w:val="2"/>
        </w:numPr>
        <w:spacing w:after="60"/>
      </w:pPr>
      <w:r>
        <w:rPr>
          <w:rFonts w:ascii="Calibri" w:cs="Calibri" w:eastAsia="Calibri" w:hAnsi="Calibri"/>
          <w:sz w:val="21"/>
          <w:szCs w:val="21"/>
        </w:rPr>
        <w:t xml:space="preserve">Collecte, contrôle qualité et analyse de données de suivi de programmes de développement</w:t>
      </w:r>
    </w:p>
    <w:p>
      <w:pPr>
        <w:pStyle w:val="ListParagraph"/>
        <w:numPr>
          <w:ilvl w:val="0"/>
          <w:numId w:val="2"/>
        </w:numPr>
        <w:spacing w:after="60"/>
      </w:pPr>
      <w:r>
        <w:rPr>
          <w:rFonts w:ascii="Calibri" w:cs="Calibri" w:eastAsia="Calibri" w:hAnsi="Calibri"/>
          <w:sz w:val="21"/>
          <w:szCs w:val="21"/>
        </w:rPr>
        <w:t xml:space="preserve">Production de rapports de suivi destinés à des bailleurs de fonds internationaux</w:t>
      </w:r>
    </w:p>
    <w:p>
      <w:pPr>
        <w:tabs>
          <w:tab w:val="right" w:pos="9360"/>
        </w:tabs>
        <w:spacing w:after="40" w:before="160"/>
      </w:pPr>
      <w:r>
        <w:rPr>
          <w:rFonts w:ascii="Calibri" w:cs="Calibri" w:eastAsia="Calibri" w:hAnsi="Calibri"/>
          <w:b/>
          <w:bCs/>
          <w:sz w:val="22"/>
          <w:szCs w:val="22"/>
        </w:rPr>
        <w:t xml:space="preserve">Consultant Formateur R &amp; Python</w:t>
      </w:r>
      <w:r>
        <w:rPr>
          <w:rFonts w:ascii="Calibri" w:cs="Calibri" w:eastAsia="Calibri" w:hAnsi="Calibri"/>
          <w:sz w:val="22"/>
          <w:szCs w:val="22"/>
        </w:rPr>
        <w:t xml:space="preserve">  —  INSSEDS</w:t>
      </w:r>
      <w:r>
        <w:rPr>
          <w:rFonts w:ascii="Calibri" w:cs="Calibri" w:eastAsia="Calibri" w:hAnsi="Calibri"/>
          <w:i/>
          <w:iCs/>
          <w:sz w:val="20"/>
          <w:szCs w:val="20"/>
        </w:rPr>
        <w:t xml:space="preserve">	</w:t>
      </w:r>
    </w:p>
    <w:p>
      <w:pPr>
        <w:pStyle w:val="ListParagraph"/>
        <w:numPr>
          <w:ilvl w:val="0"/>
          <w:numId w:val="2"/>
        </w:numPr>
        <w:spacing w:after="60"/>
      </w:pPr>
      <w:r>
        <w:rPr>
          <w:rFonts w:ascii="Calibri" w:cs="Calibri" w:eastAsia="Calibri" w:hAnsi="Calibri"/>
          <w:sz w:val="21"/>
          <w:szCs w:val="21"/>
        </w:rPr>
        <w:t xml:space="preserve">Formation de professionnels aux langages R et Python pour l'analyse et la visualisation de données</w:t>
      </w:r>
    </w:p>
    <w:p>
      <w:pPr>
        <w:tabs>
          <w:tab w:val="right" w:pos="9360"/>
        </w:tabs>
        <w:spacing w:after="40" w:before="160"/>
      </w:pPr>
      <w:r>
        <w:rPr>
          <w:rFonts w:ascii="Calibri" w:cs="Calibri" w:eastAsia="Calibri" w:hAnsi="Calibri"/>
          <w:b/>
          <w:bCs/>
          <w:sz w:val="22"/>
          <w:szCs w:val="22"/>
        </w:rPr>
        <w:t xml:space="preserve">Fondateur</w:t>
      </w:r>
      <w:r>
        <w:rPr>
          <w:rFonts w:ascii="Calibri" w:cs="Calibri" w:eastAsia="Calibri" w:hAnsi="Calibri"/>
          <w:sz w:val="22"/>
          <w:szCs w:val="22"/>
        </w:rPr>
        <w:t xml:space="preserve">  —  Yinvest (BRVM AI) — SaaS d'analyse financière boursière</w:t>
      </w:r>
      <w:r>
        <w:rPr>
          <w:rFonts w:ascii="Calibri" w:cs="Calibri" w:eastAsia="Calibri" w:hAnsi="Calibri"/>
          <w:i/>
          <w:iCs/>
          <w:sz w:val="20"/>
          <w:szCs w:val="20"/>
        </w:rPr>
        <w:t xml:space="preserve">	</w:t>
      </w:r>
    </w:p>
    <w:p>
      <w:pPr>
        <w:pStyle w:val="ListParagraph"/>
        <w:numPr>
          <w:ilvl w:val="0"/>
          <w:numId w:val="2"/>
        </w:numPr>
        <w:spacing w:after="60"/>
      </w:pPr>
      <w:r>
        <w:rPr>
          <w:rFonts w:ascii="Calibri" w:cs="Calibri" w:eastAsia="Calibri" w:hAnsi="Calibri"/>
          <w:sz w:val="21"/>
          <w:szCs w:val="21"/>
        </w:rPr>
        <w:t xml:space="preserve">Conception et développement d'un SaaS d'analyse boursière pour la BRVM (Next.js, Vercel)</w:t>
      </w:r>
    </w:p>
    <w:p>
      <w:pPr>
        <w:pStyle w:val="Heading2"/>
        <w:pBdr>
          <w:bottom w:val="single" w:color="999999" w:sz="6" w:space="2"/>
        </w:pBdr>
        <w:spacing w:after="100" w:before="240"/>
      </w:pPr>
      <w:r>
        <w:rPr>
          <w:rFonts w:ascii="Calibri" w:cs="Calibri" w:eastAsia="Calibri" w:hAnsi="Calibri"/>
          <w:b/>
          <w:bCs/>
          <w:color w:val="1F1F1F"/>
          <w:sz w:val="24"/>
          <w:szCs w:val="24"/>
        </w:rPr>
        <w:t xml:space="preserve">PROJETS NOTABLES</w:t>
      </w:r>
    </w:p>
    <w:p>
      <w:pPr>
        <w:pStyle w:val="ListParagraph"/>
        <w:numPr>
          <w:ilvl w:val="0"/>
          <w:numId w:val="2"/>
        </w:numPr>
        <w:spacing w:after="60"/>
      </w:pPr>
      <w:r>
        <w:rPr>
          <w:rFonts w:ascii="Calibri" w:cs="Calibri" w:eastAsia="Calibri" w:hAnsi="Calibri"/>
          <w:b/>
          <w:bCs/>
          <w:sz w:val="21"/>
          <w:szCs w:val="21"/>
        </w:rPr>
        <w:t xml:space="preserve">Sondaq — </w:t>
      </w:r>
      <w:r>
        <w:rPr>
          <w:rFonts w:ascii="Calibri" w:cs="Calibri" w:eastAsia="Calibri" w:hAnsi="Calibri"/>
          <w:sz w:val="21"/>
          <w:szCs w:val="21"/>
        </w:rPr>
        <w:t xml:space="preserve">Plateforme no-code d'analyse d'études de marché — segmentation, positionnement (Next.js, TypeScript)</w:t>
      </w:r>
    </w:p>
    <w:p>
      <w:pPr>
        <w:pStyle w:val="Heading2"/>
        <w:pBdr>
          <w:bottom w:val="single" w:color="999999" w:sz="6" w:space="2"/>
        </w:pBdr>
        <w:spacing w:after="100" w:before="240"/>
      </w:pPr>
      <w:r>
        <w:rPr>
          <w:rFonts w:ascii="Calibri" w:cs="Calibri" w:eastAsia="Calibri" w:hAnsi="Calibri"/>
          <w:b/>
          <w:bCs/>
          <w:color w:val="1F1F1F"/>
          <w:sz w:val="24"/>
          <w:szCs w:val="24"/>
        </w:rPr>
        <w:t xml:space="preserve">FORMATION</w:t>
      </w:r>
    </w:p>
    <w:p>
      <w:pPr>
        <w:spacing w:after="120"/>
      </w:pPr>
      <w:r>
        <w:rPr>
          <w:rFonts w:ascii="Calibri" w:cs="Calibri" w:eastAsia="Calibri" w:hAnsi="Calibri"/>
          <w:sz w:val="21"/>
          <w:szCs w:val="21"/>
        </w:rPr>
        <w:t xml:space="preserve">Formation continue et autoformation en Statistique, Data Science et Business Intelligence. Détails et certifications disponibles sur le portfolio et le profil LinkedIn.</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2026-07-31T05:46:24.736Z</dcterms:created>
  <dcterms:modified xsi:type="dcterms:W3CDTF">2026-07-31T05:46:24.737Z</dcterms:modified>
</cp:coreProperties>
</file>

<file path=docProps/custom.xml><?xml version="1.0" encoding="utf-8"?>
<Properties xmlns="http://schemas.openxmlformats.org/officeDocument/2006/custom-properties" xmlns:vt="http://schemas.openxmlformats.org/officeDocument/2006/docPropsVTypes"/>
</file>