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Результаты теста, направленного на оценку критического мышления </w:t>
      </w:r>
    </w:p>
    <w:p>
      <w:pPr>
        <w:pStyle w:val="BodyText"/>
        <w:jc w:val="center"/>
      </w:pPr>
      <w:r>
        <w:t>Уважаемый респондент!</w:t>
      </w:r>
    </w:p>
    <w:p>
      <w:pPr>
        <w:pStyle w:val="BodyText"/>
        <w:jc w:val="left"/>
      </w:pPr>
      <w:r>
        <w:t>Спасибо за участие в оценивании критического мышления. Тест, который Вы проходили, был частью исследования уровня критического мышления у студентов разных специальностей ведущих российских вузов. Сегодня считается, что критическое мышление может развиваться в двух ситуациях: как в результате специального обучения, так и благодаря накоплению практического жизненного опыта.</w:t>
      </w:r>
    </w:p>
    <w:p>
      <w:pPr>
        <w:pStyle w:val="BodyText"/>
        <w:jc w:val="left"/>
      </w:pPr>
      <w:r>
        <w:t>В тесте критическое мышление определялось как последовательность когнитивных действий, направленных на оценку качества исходной информации с целью определения проблемы, поиск возможных решений и выбор наилучшего из них, обоснование собственного вывода и выявление его ограничений и оценивались следующие умения:</w:t>
      </w:r>
    </w:p>
    <w:p>
      <w:pPr>
        <w:pStyle w:val="ListNumber"/>
      </w:pPr>
      <w:r>
        <w:t>Проверять информацию, включая группировку и ранжирование источников исходной информации, определять её актуальность и релевантность, оценивать компетентность и авторитетность источников информации;</w:t>
      </w:r>
    </w:p>
    <w:p>
      <w:pPr>
        <w:pStyle w:val="ListNumber"/>
      </w:pPr>
      <w:r>
        <w:t>Анализировать и осмыслять информацию, на основе анализа информации выносить четкое суждение, разрабатывать истинные и валидные выводы и проводить рефлексию в отношении альтернативных объяснений.</w:t>
      </w:r>
    </w:p>
    <w:p>
      <w:pPr>
        <w:pStyle w:val="BodyText"/>
        <w:jc w:val="left"/>
      </w:pPr>
      <w:r>
        <w:t>Эти две грани критического мышления могут подменять или дополнять друг друга. Поэтому, помимо общего уровня критического мышления обратите внимание на процент решенных заданий из каждой грани.</w:t>
      </w:r>
    </w:p>
    <w:p>
      <w:r>
        <w:rPr>
          <w:b/>
        </w:rPr>
        <w:t>Ваши результаты по тесту</w:t>
      </w:r>
    </w:p>
    <w:p>
      <w:pPr>
        <w:pStyle w:val="BodyText"/>
        <w:jc w:val="left"/>
      </w:pPr>
      <w:r>
        <w:t xml:space="preserve">Балл за тест: </w:t>
      </w:r>
      <w:r>
        <w:t>0</w:t>
      </w:r>
    </w:p>
    <w:p>
      <w:pPr>
        <w:pStyle w:val="BodyText"/>
        <w:jc w:val="left"/>
      </w:pPr>
      <w:r>
        <w:t xml:space="preserve">Уровень критического мышления: </w:t>
      </w:r>
      <w:r>
        <w:t>0</w:t>
      </w:r>
    </w:p>
    <w:p>
      <w:pPr>
        <w:pStyle w:val="BodyText"/>
        <w:jc w:val="left"/>
      </w:pPr>
      <w:r>
        <w:t xml:space="preserve">Процент решенных заданий на проверку информации: </w:t>
      </w:r>
      <w:r>
        <w:t>0</w:t>
      </w:r>
    </w:p>
    <w:p>
      <w:pPr>
        <w:pStyle w:val="BodyText"/>
        <w:jc w:val="left"/>
      </w:pPr>
      <w:r>
        <w:t xml:space="preserve">Процент решенных заданий на анализ и осмысление информации: </w:t>
      </w:r>
      <w:r>
        <w:t>0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  <w:r>
              <w:rPr>
                <w:b/>
              </w:rPr>
              <w:t>Уровни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Базовый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Высокий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Продвинутый</w:t>
            </w:r>
          </w:p>
        </w:tc>
      </w:tr>
      <w:tr>
        <w:tc>
          <w:tcPr>
            <w:tcW w:type="dxa" w:w="2160"/>
          </w:tcPr>
          <w:p>
            <w:r/>
            <w:r>
              <w:rPr>
                <w:b/>
              </w:rPr>
              <w:t>Проверка информации</w:t>
            </w:r>
          </w:p>
        </w:tc>
        <w:tc>
          <w:tcPr>
            <w:tcW w:type="dxa" w:w="2160"/>
          </w:tcPr>
          <w:p>
            <w:r>
              <w:t xml:space="preserve">Вы можете: </w:t>
              <w:br/>
              <w:br/>
              <w:t xml:space="preserve">определить основную мысль и ключевые термины статьи; </w:t>
              <w:br/>
              <w:br/>
              <w:t>оценить актуальность исходной информации.</w:t>
            </w:r>
          </w:p>
        </w:tc>
        <w:tc>
          <w:tcPr>
            <w:tcW w:type="dxa" w:w="2160"/>
          </w:tcPr>
          <w:p>
            <w:r>
              <w:br/>
              <w:br/>
              <w:t xml:space="preserve">различить факты и мнения, позитивные и нормативные суждения; </w:t>
              <w:br/>
              <w:br/>
              <w:t xml:space="preserve">уточнять термины; </w:t>
              <w:br/>
              <w:br/>
              <w:t>определить компетентность и авторитетность источников.</w:t>
            </w:r>
          </w:p>
        </w:tc>
        <w:tc>
          <w:tcPr>
            <w:tcW w:type="dxa" w:w="2160"/>
          </w:tcPr>
          <w:p>
            <w:r>
              <w:br/>
              <w:br/>
              <w:t xml:space="preserve">выделять релевантную информацию; </w:t>
              <w:br/>
              <w:br/>
              <w:t>оценивать степень её непредвзятости.</w:t>
            </w:r>
          </w:p>
        </w:tc>
      </w:tr>
      <w:tr>
        <w:tc>
          <w:tcPr>
            <w:tcW w:type="dxa" w:w="2160"/>
          </w:tcPr>
          <w:p>
            <w:r/>
            <w:r>
              <w:rPr>
                <w:b/>
              </w:rPr>
              <w:t xml:space="preserve">Анализ и осмысление информации </w:t>
            </w:r>
          </w:p>
        </w:tc>
        <w:tc>
          <w:tcPr>
            <w:tcW w:type="dxa" w:w="2160"/>
          </w:tcPr>
          <w:p>
            <w:r>
              <w:t xml:space="preserve">Вы можете: </w:t>
              <w:br/>
              <w:br/>
              <w:t xml:space="preserve">nопределить проблему на основе текста (не тождественную основной мысли); </w:t>
              <w:br/>
              <w:br/>
              <w:t>выбрать концепции и определить явные предположения анализа.</w:t>
            </w:r>
          </w:p>
        </w:tc>
        <w:tc>
          <w:tcPr>
            <w:tcW w:type="dxa" w:w="2160"/>
          </w:tcPr>
          <w:p>
            <w:r>
              <w:br/>
              <w:br/>
              <w:t xml:space="preserve">выявить причинно-следственные связи для построения прогнозов; </w:t>
              <w:br/>
              <w:br/>
              <w:t xml:space="preserve">сформулировать надёжные выводы на основе анализа; </w:t>
              <w:br/>
              <w:br/>
              <w:t>выявить неявные предположения анализа.</w:t>
            </w:r>
          </w:p>
        </w:tc>
        <w:tc>
          <w:tcPr>
            <w:tcW w:type="dxa" w:w="2160"/>
          </w:tcPr>
          <w:p>
            <w:r>
              <w:br/>
              <w:br/>
              <w:t xml:space="preserve">оценить ограничения анализа и реалистичность собственного вывода; </w:t>
              <w:br/>
              <w:br/>
              <w:t>выявить противоречия анализа;</w:t>
              <w:br/>
              <w:br/>
              <w:t>оценить степень неопределённости выводов, полученных на основе анализа.</w:t>
            </w:r>
          </w:p>
        </w:tc>
      </w:tr>
    </w:tbl>
    <w:p>
      <w:r>
        <w:rPr>
          <w:b/>
        </w:rPr>
        <w:t>Спасибо за участие в исследовании!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