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B9" w:rsidRDefault="005733B9" w:rsidP="005733B9">
      <w:r>
        <w:t xml:space="preserve">Памятник, возведенный в честь погибших в Первой мировой войне сограждан. Негласно монумент считается посвященным всем австралийцам, которые сложили головы в вооруженных конфликтах. Сооружение было возведено в 30-е гг. XX столетия по проекту ветеранов Д. </w:t>
      </w:r>
      <w:proofErr w:type="spellStart"/>
      <w:r>
        <w:t>Уордропа</w:t>
      </w:r>
      <w:proofErr w:type="spellEnd"/>
      <w:r>
        <w:t xml:space="preserve"> и Ф. Хадсона. За образец была взята классическая архитектура Афинского Парфенона. Памятник располагается на холме на территории Королевских садов.</w:t>
      </w:r>
    </w:p>
    <w:p w:rsidR="007A3FF7" w:rsidRDefault="005733B9" w:rsidP="005733B9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39B"/>
    <w:rsid w:val="0039539B"/>
    <w:rsid w:val="005733B9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2021-11-21T15:24:00Z</dcterms:created>
  <dcterms:modified xsi:type="dcterms:W3CDTF">2021-11-21T15:25:00Z</dcterms:modified>
</cp:coreProperties>
</file>