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FA39DF">
      <w:r>
        <w:rPr>
          <w:rFonts w:ascii="Segoe UI" w:hAnsi="Segoe UI" w:cs="Segoe UI"/>
          <w:color w:val="212529"/>
          <w:shd w:val="clear" w:color="auto" w:fill="FFFFFF"/>
        </w:rPr>
        <w:t>Этот католический собор является важной национальной святыней Австралии. Особенно примечательно местоположение собора: старинное готическое сооружение возвышается прямо в сердце делового района Сиднея, на фоне современных индустриальных пейзажей — это неповторимый контраст. Первый камень собора был положен в середине 19 века, а строительство огромного вместительного здания продолжалось поэтапно на протяжении столетия. Внутри собор славится своими витражами, которые создавались на протяжении полувека. Всего их здесь около сорока, и каждый из них посвящён какому-либо библейскому сюжету.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B95"/>
    <w:rsid w:val="005A5B95"/>
    <w:rsid w:val="00EF06D4"/>
    <w:rsid w:val="00F54C3C"/>
    <w:rsid w:val="00FA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2021-11-21T14:24:00Z</dcterms:created>
  <dcterms:modified xsi:type="dcterms:W3CDTF">2021-11-21T14:24:00Z</dcterms:modified>
</cp:coreProperties>
</file>