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20305">
      <w:r>
        <w:rPr>
          <w:rFonts w:ascii="Segoe UI" w:hAnsi="Segoe UI" w:cs="Segoe UI"/>
          <w:color w:val="212529"/>
          <w:shd w:val="clear" w:color="auto" w:fill="FFFFFF"/>
        </w:rPr>
        <w:t xml:space="preserve">Поистине, описывая достопримечательности Гранады, эту пропустить невозможно.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Альгамбре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прекрасно все: и расположение на вершине скалы, и насыщенное содержание комплекса. В него входят дворцы, крепость и сады правителей. Строения имеют потрясающий вид на фоне скальных массивов и лесных зарослей. В отзывах отмечают великолепные террасы с изящными арками, чудные фонтаны, водоемы, уютные внутренние дворики. Повсюду глаз останавливается на яркой мозаике, резных орнаментах, выполненных на камне и дереве, красивых керамических изразцах. Это место – одно из тех, где просто необходимо побывать.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01"/>
    <w:rsid w:val="00031501"/>
    <w:rsid w:val="0052030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2021-11-21T12:03:00Z</dcterms:created>
  <dcterms:modified xsi:type="dcterms:W3CDTF">2021-11-21T12:04:00Z</dcterms:modified>
</cp:coreProperties>
</file>