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3FF7" w:rsidRDefault="002E007D">
      <w:r>
        <w:rPr>
          <w:rFonts w:ascii="Segoe UI" w:hAnsi="Segoe UI" w:cs="Segoe UI"/>
          <w:color w:val="212529"/>
          <w:shd w:val="clear" w:color="auto" w:fill="FFFFFF"/>
        </w:rPr>
        <w:t>Старый город Малаги знаменит, в том числе, своей исторической и самой посещаемой площадью Конституции. Тут организуются все городские праздники. В канун рождественских торжеств именно здесь устанавливается главная елка города. В числе местных достопримечательностей – построенный из мрамора в 16 столетии фонтан Генуи.</w:t>
      </w:r>
      <w:bookmarkStart w:id="0" w:name="_GoBack"/>
      <w:bookmarkEnd w:id="0"/>
    </w:p>
    <w:sectPr w:rsidR="007A3F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3743"/>
    <w:rsid w:val="00193743"/>
    <w:rsid w:val="002E007D"/>
    <w:rsid w:val="00EF06D4"/>
    <w:rsid w:val="00F54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272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2021-11-21T12:14:00Z</dcterms:created>
  <dcterms:modified xsi:type="dcterms:W3CDTF">2021-11-21T12:14:00Z</dcterms:modified>
</cp:coreProperties>
</file>